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966" w:rsidRDefault="00813031" w:rsidP="00A47095">
      <w:pPr>
        <w:jc w:val="center"/>
        <w:rPr>
          <w:b/>
          <w:sz w:val="24"/>
          <w:szCs w:val="24"/>
          <w:u w:val="single"/>
        </w:rPr>
      </w:pPr>
      <w:r w:rsidRPr="00813031">
        <w:rPr>
          <w:b/>
          <w:sz w:val="24"/>
          <w:szCs w:val="24"/>
          <w:u w:val="single"/>
        </w:rPr>
        <w:t>Amendments to HR 3.13, HR 3.13.1, HR 3.13.2 Additional Compensation Procedure</w:t>
      </w:r>
    </w:p>
    <w:p w:rsidR="00813031" w:rsidRPr="00813031" w:rsidRDefault="00813031" w:rsidP="00A47095">
      <w:pPr>
        <w:jc w:val="center"/>
        <w:rPr>
          <w:b/>
          <w:sz w:val="24"/>
          <w:szCs w:val="24"/>
          <w:u w:val="single"/>
        </w:rPr>
      </w:pPr>
      <w:r>
        <w:rPr>
          <w:b/>
          <w:sz w:val="24"/>
          <w:szCs w:val="24"/>
          <w:u w:val="single"/>
        </w:rPr>
        <w:t>Effective 1/1/2021</w:t>
      </w:r>
    </w:p>
    <w:p w:rsidR="00813031" w:rsidRPr="00813031" w:rsidRDefault="00813031" w:rsidP="00A47095">
      <w:pPr>
        <w:jc w:val="center"/>
        <w:rPr>
          <w:b/>
          <w:u w:val="single"/>
        </w:rPr>
      </w:pPr>
      <w:bookmarkStart w:id="0" w:name="_GoBack"/>
      <w:bookmarkEnd w:id="0"/>
    </w:p>
    <w:p w:rsidR="003758A7" w:rsidRPr="00430F1E" w:rsidRDefault="003758A7" w:rsidP="003758A7">
      <w:pPr>
        <w:pStyle w:val="Heading4"/>
      </w:pPr>
      <w:r w:rsidRPr="00430F1E">
        <w:rPr>
          <w:u w:val="single"/>
        </w:rPr>
        <w:t>HR 3.13 Additional Compensation Procedure</w:t>
      </w:r>
    </w:p>
    <w:p w:rsidR="003758A7" w:rsidRPr="00430F1E" w:rsidRDefault="003758A7" w:rsidP="003758A7">
      <w:pPr>
        <w:pStyle w:val="BodyText"/>
        <w:ind w:right="175"/>
        <w:jc w:val="both"/>
      </w:pPr>
      <w:r w:rsidRPr="00430F1E">
        <w:t>Full-time</w:t>
      </w:r>
      <w:r>
        <w:t xml:space="preserve"> exempt</w:t>
      </w:r>
      <w:r w:rsidRPr="00430F1E">
        <w:t xml:space="preserve"> non-teaching professional and support staff members may receive additional compensation for conducting workshops, seminars, courses or other activities which are of benefit to the University, but which are not part of their regular job description. Consultation with the Director of Human Resources and the appropriate Vice President are required.</w:t>
      </w:r>
    </w:p>
    <w:p w:rsidR="003758A7" w:rsidRPr="00430F1E" w:rsidRDefault="003758A7" w:rsidP="003758A7">
      <w:pPr>
        <w:pStyle w:val="BodyText"/>
        <w:ind w:left="0"/>
      </w:pPr>
    </w:p>
    <w:p w:rsidR="003758A7" w:rsidRPr="00813031" w:rsidRDefault="003758A7" w:rsidP="003758A7">
      <w:pPr>
        <w:pStyle w:val="BodyText"/>
        <w:jc w:val="both"/>
        <w:rPr>
          <w:b/>
        </w:rPr>
      </w:pPr>
      <w:r w:rsidRPr="00813031">
        <w:rPr>
          <w:b/>
          <w:u w:val="single"/>
        </w:rPr>
        <w:t>HR 3.13.1 Exempt Non-Faculty Employees</w:t>
      </w:r>
    </w:p>
    <w:p w:rsidR="003758A7" w:rsidRPr="00430F1E" w:rsidRDefault="003758A7" w:rsidP="003758A7">
      <w:pPr>
        <w:pStyle w:val="BodyText"/>
        <w:ind w:right="174"/>
        <w:jc w:val="both"/>
      </w:pPr>
      <w:r w:rsidRPr="00430F1E">
        <w:t>Exempt administrative or staff employees may teach as adjunct instructors with the written permission of their supervisor. Preparation for classes taught as an adjunct instructor must be completed outside of normal working hours or responsibilities. Examples of non-teaching additional responsibilities include grant-writing or administration, developing or conducting workshops or seminars, delivering professional services, performing, creating, leading and directing research. Hours taught are not to exceed 4 credit hours. If courses taught are held before or after the employee’s normal working hours, the employee will receive adjunct instructor pay as determined by Academic Affairs.</w:t>
      </w:r>
    </w:p>
    <w:p w:rsidR="003758A7" w:rsidRPr="00430F1E" w:rsidRDefault="003758A7" w:rsidP="003758A7">
      <w:pPr>
        <w:pStyle w:val="BodyText"/>
        <w:ind w:left="0"/>
      </w:pPr>
    </w:p>
    <w:p w:rsidR="003758A7" w:rsidRPr="00430F1E" w:rsidRDefault="003758A7" w:rsidP="003758A7">
      <w:pPr>
        <w:pStyle w:val="BodyText"/>
        <w:ind w:right="175"/>
        <w:jc w:val="both"/>
      </w:pPr>
      <w:r w:rsidRPr="00430F1E">
        <w:t>With the written permission of the supervisor, an exempt employee may teach courses which are held during the employee’s normal working hours. In such cases either:</w:t>
      </w:r>
    </w:p>
    <w:p w:rsidR="003758A7" w:rsidRPr="00430F1E" w:rsidRDefault="003758A7" w:rsidP="003758A7">
      <w:pPr>
        <w:pStyle w:val="ListParagraph"/>
        <w:numPr>
          <w:ilvl w:val="0"/>
          <w:numId w:val="1"/>
        </w:numPr>
        <w:tabs>
          <w:tab w:val="left" w:pos="935"/>
          <w:tab w:val="left" w:pos="936"/>
        </w:tabs>
        <w:ind w:right="183"/>
        <w:jc w:val="both"/>
        <w:rPr>
          <w:sz w:val="24"/>
        </w:rPr>
      </w:pPr>
      <w:r w:rsidRPr="00430F1E">
        <w:rPr>
          <w:sz w:val="24"/>
        </w:rPr>
        <w:t>The employee shall receive adjunct instructor pay as determined by Academic Affairs and be placed on a flexible schedule to make up for the time lost to teaching;</w:t>
      </w:r>
      <w:r w:rsidRPr="00430F1E">
        <w:rPr>
          <w:spacing w:val="-23"/>
          <w:sz w:val="24"/>
        </w:rPr>
        <w:t xml:space="preserve"> </w:t>
      </w:r>
      <w:r w:rsidRPr="00430F1E">
        <w:rPr>
          <w:sz w:val="24"/>
        </w:rPr>
        <w:t>or</w:t>
      </w:r>
    </w:p>
    <w:p w:rsidR="003758A7" w:rsidRPr="00430F1E" w:rsidRDefault="003758A7" w:rsidP="003758A7">
      <w:pPr>
        <w:pStyle w:val="ListParagraph"/>
        <w:numPr>
          <w:ilvl w:val="0"/>
          <w:numId w:val="1"/>
        </w:numPr>
        <w:tabs>
          <w:tab w:val="left" w:pos="935"/>
          <w:tab w:val="left" w:pos="936"/>
        </w:tabs>
        <w:ind w:right="183"/>
        <w:jc w:val="both"/>
        <w:rPr>
          <w:sz w:val="24"/>
        </w:rPr>
      </w:pPr>
      <w:r w:rsidRPr="00430F1E">
        <w:rPr>
          <w:sz w:val="24"/>
        </w:rPr>
        <w:t>The services as an adjunct instructor shall be considered to be a temporary part of the employee’s other duties as assigned and no additional compensation as an adjunct instructor will be received.</w:t>
      </w:r>
    </w:p>
    <w:p w:rsidR="003758A7" w:rsidRPr="00430F1E" w:rsidRDefault="003758A7" w:rsidP="003758A7">
      <w:pPr>
        <w:pStyle w:val="BodyText"/>
        <w:spacing w:before="12"/>
        <w:ind w:left="0"/>
        <w:rPr>
          <w:sz w:val="23"/>
        </w:rPr>
      </w:pPr>
    </w:p>
    <w:p w:rsidR="003758A7" w:rsidRPr="00813031" w:rsidRDefault="003758A7" w:rsidP="003758A7">
      <w:pPr>
        <w:pStyle w:val="BodyText"/>
        <w:jc w:val="both"/>
        <w:rPr>
          <w:b/>
        </w:rPr>
      </w:pPr>
      <w:r w:rsidRPr="00813031">
        <w:rPr>
          <w:b/>
          <w:u w:val="single"/>
        </w:rPr>
        <w:t>HR 3.13.2 Non-exempt Employees</w:t>
      </w:r>
    </w:p>
    <w:p w:rsidR="003758A7" w:rsidRDefault="003758A7" w:rsidP="00A47095">
      <w:pPr>
        <w:pStyle w:val="BodyText"/>
        <w:ind w:right="173"/>
        <w:jc w:val="both"/>
      </w:pPr>
      <w:r w:rsidRPr="00430F1E">
        <w:t>Non-exempt</w:t>
      </w:r>
      <w:r w:rsidR="00A47095">
        <w:t xml:space="preserve"> </w:t>
      </w:r>
      <w:r w:rsidRPr="00430F1E">
        <w:t>employees</w:t>
      </w:r>
      <w:r w:rsidR="006F1523">
        <w:t xml:space="preserve"> are not eligible to participate in the additional compensation procedures.</w:t>
      </w:r>
      <w:r w:rsidRPr="00430F1E">
        <w:t xml:space="preserve"> </w:t>
      </w:r>
    </w:p>
    <w:p w:rsidR="003758A7" w:rsidRDefault="003758A7">
      <w:pPr>
        <w:rPr>
          <w:b/>
          <w:u w:val="single"/>
        </w:rPr>
      </w:pPr>
    </w:p>
    <w:p w:rsidR="003758A7" w:rsidRPr="003758A7" w:rsidRDefault="003758A7">
      <w:pPr>
        <w:rPr>
          <w:b/>
          <w:u w:val="single"/>
        </w:rPr>
      </w:pPr>
    </w:p>
    <w:p w:rsidR="003758A7" w:rsidRDefault="003758A7"/>
    <w:p w:rsidR="003758A7" w:rsidRDefault="003758A7"/>
    <w:sectPr w:rsidR="0037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13C0"/>
    <w:multiLevelType w:val="hybridMultilevel"/>
    <w:tmpl w:val="06207D38"/>
    <w:lvl w:ilvl="0" w:tplc="5492E906">
      <w:start w:val="1"/>
      <w:numFmt w:val="decimal"/>
      <w:lvlText w:val="%1."/>
      <w:lvlJc w:val="left"/>
      <w:pPr>
        <w:ind w:left="880" w:hanging="416"/>
      </w:pPr>
      <w:rPr>
        <w:rFonts w:ascii="Calibri" w:eastAsia="Calibri" w:hAnsi="Calibri" w:cs="Calibri" w:hint="default"/>
        <w:spacing w:val="-27"/>
        <w:w w:val="100"/>
        <w:sz w:val="24"/>
        <w:szCs w:val="24"/>
      </w:rPr>
    </w:lvl>
    <w:lvl w:ilvl="1" w:tplc="44DE780A">
      <w:start w:val="1"/>
      <w:numFmt w:val="decimal"/>
      <w:lvlText w:val="%2."/>
      <w:lvlJc w:val="left"/>
      <w:pPr>
        <w:ind w:left="1240" w:hanging="360"/>
      </w:pPr>
      <w:rPr>
        <w:rFonts w:ascii="Calibri" w:eastAsia="Calibri" w:hAnsi="Calibri" w:cs="Calibri" w:hint="default"/>
        <w:spacing w:val="-3"/>
        <w:w w:val="100"/>
        <w:sz w:val="24"/>
        <w:szCs w:val="24"/>
      </w:rPr>
    </w:lvl>
    <w:lvl w:ilvl="2" w:tplc="B922DA80">
      <w:numFmt w:val="bullet"/>
      <w:lvlText w:val="•"/>
      <w:lvlJc w:val="left"/>
      <w:pPr>
        <w:ind w:left="2180" w:hanging="360"/>
      </w:pPr>
      <w:rPr>
        <w:rFonts w:hint="default"/>
      </w:rPr>
    </w:lvl>
    <w:lvl w:ilvl="3" w:tplc="0B5E5A50">
      <w:numFmt w:val="bullet"/>
      <w:lvlText w:val="•"/>
      <w:lvlJc w:val="left"/>
      <w:pPr>
        <w:ind w:left="3120" w:hanging="360"/>
      </w:pPr>
      <w:rPr>
        <w:rFonts w:hint="default"/>
      </w:rPr>
    </w:lvl>
    <w:lvl w:ilvl="4" w:tplc="059EC110">
      <w:numFmt w:val="bullet"/>
      <w:lvlText w:val="•"/>
      <w:lvlJc w:val="left"/>
      <w:pPr>
        <w:ind w:left="4060" w:hanging="360"/>
      </w:pPr>
      <w:rPr>
        <w:rFonts w:hint="default"/>
      </w:rPr>
    </w:lvl>
    <w:lvl w:ilvl="5" w:tplc="12B89B38">
      <w:numFmt w:val="bullet"/>
      <w:lvlText w:val="•"/>
      <w:lvlJc w:val="left"/>
      <w:pPr>
        <w:ind w:left="5000" w:hanging="360"/>
      </w:pPr>
      <w:rPr>
        <w:rFonts w:hint="default"/>
      </w:rPr>
    </w:lvl>
    <w:lvl w:ilvl="6" w:tplc="409284CE">
      <w:numFmt w:val="bullet"/>
      <w:lvlText w:val="•"/>
      <w:lvlJc w:val="left"/>
      <w:pPr>
        <w:ind w:left="5940" w:hanging="360"/>
      </w:pPr>
      <w:rPr>
        <w:rFonts w:hint="default"/>
      </w:rPr>
    </w:lvl>
    <w:lvl w:ilvl="7" w:tplc="320A35B4">
      <w:numFmt w:val="bullet"/>
      <w:lvlText w:val="•"/>
      <w:lvlJc w:val="left"/>
      <w:pPr>
        <w:ind w:left="6880" w:hanging="360"/>
      </w:pPr>
      <w:rPr>
        <w:rFonts w:hint="default"/>
      </w:rPr>
    </w:lvl>
    <w:lvl w:ilvl="8" w:tplc="812E454A">
      <w:numFmt w:val="bullet"/>
      <w:lvlText w:val="•"/>
      <w:lvlJc w:val="left"/>
      <w:pPr>
        <w:ind w:left="7820" w:hanging="360"/>
      </w:pPr>
      <w:rPr>
        <w:rFonts w:hint="default"/>
      </w:rPr>
    </w:lvl>
  </w:abstractNum>
  <w:abstractNum w:abstractNumId="1" w15:restartNumberingAfterBreak="0">
    <w:nsid w:val="4ACB08B4"/>
    <w:multiLevelType w:val="hybridMultilevel"/>
    <w:tmpl w:val="C7AED472"/>
    <w:lvl w:ilvl="0" w:tplc="5492E906">
      <w:start w:val="1"/>
      <w:numFmt w:val="decimal"/>
      <w:lvlText w:val="%1."/>
      <w:lvlJc w:val="left"/>
      <w:pPr>
        <w:ind w:left="880" w:hanging="416"/>
      </w:pPr>
      <w:rPr>
        <w:rFonts w:ascii="Calibri" w:eastAsia="Calibri" w:hAnsi="Calibri" w:cs="Calibri" w:hint="default"/>
        <w:spacing w:val="-27"/>
        <w:w w:val="100"/>
        <w:sz w:val="24"/>
        <w:szCs w:val="24"/>
      </w:rPr>
    </w:lvl>
    <w:lvl w:ilvl="1" w:tplc="44DE780A">
      <w:start w:val="1"/>
      <w:numFmt w:val="decimal"/>
      <w:lvlText w:val="%2."/>
      <w:lvlJc w:val="left"/>
      <w:pPr>
        <w:ind w:left="1240" w:hanging="360"/>
      </w:pPr>
      <w:rPr>
        <w:rFonts w:ascii="Calibri" w:eastAsia="Calibri" w:hAnsi="Calibri" w:cs="Calibri" w:hint="default"/>
        <w:spacing w:val="-3"/>
        <w:w w:val="100"/>
        <w:sz w:val="24"/>
        <w:szCs w:val="24"/>
      </w:rPr>
    </w:lvl>
    <w:lvl w:ilvl="2" w:tplc="B922DA80">
      <w:numFmt w:val="bullet"/>
      <w:lvlText w:val="•"/>
      <w:lvlJc w:val="left"/>
      <w:pPr>
        <w:ind w:left="2180" w:hanging="360"/>
      </w:pPr>
      <w:rPr>
        <w:rFonts w:hint="default"/>
      </w:rPr>
    </w:lvl>
    <w:lvl w:ilvl="3" w:tplc="0B5E5A50">
      <w:numFmt w:val="bullet"/>
      <w:lvlText w:val="•"/>
      <w:lvlJc w:val="left"/>
      <w:pPr>
        <w:ind w:left="3120" w:hanging="360"/>
      </w:pPr>
      <w:rPr>
        <w:rFonts w:hint="default"/>
      </w:rPr>
    </w:lvl>
    <w:lvl w:ilvl="4" w:tplc="059EC110">
      <w:numFmt w:val="bullet"/>
      <w:lvlText w:val="•"/>
      <w:lvlJc w:val="left"/>
      <w:pPr>
        <w:ind w:left="4060" w:hanging="360"/>
      </w:pPr>
      <w:rPr>
        <w:rFonts w:hint="default"/>
      </w:rPr>
    </w:lvl>
    <w:lvl w:ilvl="5" w:tplc="12B89B38">
      <w:numFmt w:val="bullet"/>
      <w:lvlText w:val="•"/>
      <w:lvlJc w:val="left"/>
      <w:pPr>
        <w:ind w:left="5000" w:hanging="360"/>
      </w:pPr>
      <w:rPr>
        <w:rFonts w:hint="default"/>
      </w:rPr>
    </w:lvl>
    <w:lvl w:ilvl="6" w:tplc="409284CE">
      <w:numFmt w:val="bullet"/>
      <w:lvlText w:val="•"/>
      <w:lvlJc w:val="left"/>
      <w:pPr>
        <w:ind w:left="5940" w:hanging="360"/>
      </w:pPr>
      <w:rPr>
        <w:rFonts w:hint="default"/>
      </w:rPr>
    </w:lvl>
    <w:lvl w:ilvl="7" w:tplc="320A35B4">
      <w:numFmt w:val="bullet"/>
      <w:lvlText w:val="•"/>
      <w:lvlJc w:val="left"/>
      <w:pPr>
        <w:ind w:left="6880" w:hanging="360"/>
      </w:pPr>
      <w:rPr>
        <w:rFonts w:hint="default"/>
      </w:rPr>
    </w:lvl>
    <w:lvl w:ilvl="8" w:tplc="812E454A">
      <w:numFmt w:val="bullet"/>
      <w:lvlText w:val="•"/>
      <w:lvlJc w:val="left"/>
      <w:pPr>
        <w:ind w:left="78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A7"/>
    <w:rsid w:val="003758A7"/>
    <w:rsid w:val="006F1523"/>
    <w:rsid w:val="00813031"/>
    <w:rsid w:val="008A695D"/>
    <w:rsid w:val="00A47095"/>
    <w:rsid w:val="00E8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5052"/>
  <w15:chartTrackingRefBased/>
  <w15:docId w15:val="{DC40016E-6D3B-4763-93A1-82653840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1"/>
    <w:qFormat/>
    <w:rsid w:val="003758A7"/>
    <w:pPr>
      <w:widowControl w:val="0"/>
      <w:autoSpaceDE w:val="0"/>
      <w:autoSpaceDN w:val="0"/>
      <w:spacing w:after="0" w:line="240" w:lineRule="auto"/>
      <w:ind w:left="160"/>
      <w:jc w:val="both"/>
      <w:outlineLvl w:val="3"/>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758A7"/>
    <w:rPr>
      <w:rFonts w:ascii="Calibri" w:eastAsia="Calibri" w:hAnsi="Calibri" w:cs="Calibri"/>
      <w:b/>
      <w:bCs/>
      <w:sz w:val="24"/>
      <w:szCs w:val="24"/>
    </w:rPr>
  </w:style>
  <w:style w:type="paragraph" w:styleId="BodyText">
    <w:name w:val="Body Text"/>
    <w:basedOn w:val="Normal"/>
    <w:link w:val="BodyTextChar"/>
    <w:uiPriority w:val="1"/>
    <w:qFormat/>
    <w:rsid w:val="003758A7"/>
    <w:pPr>
      <w:widowControl w:val="0"/>
      <w:autoSpaceDE w:val="0"/>
      <w:autoSpaceDN w:val="0"/>
      <w:spacing w:after="0" w:line="240" w:lineRule="auto"/>
      <w:ind w:left="160"/>
    </w:pPr>
    <w:rPr>
      <w:rFonts w:ascii="Calibri" w:eastAsia="Calibri" w:hAnsi="Calibri" w:cs="Calibri"/>
      <w:sz w:val="24"/>
      <w:szCs w:val="24"/>
    </w:rPr>
  </w:style>
  <w:style w:type="character" w:customStyle="1" w:styleId="BodyTextChar">
    <w:name w:val="Body Text Char"/>
    <w:basedOn w:val="DefaultParagraphFont"/>
    <w:link w:val="BodyText"/>
    <w:uiPriority w:val="1"/>
    <w:rsid w:val="003758A7"/>
    <w:rPr>
      <w:rFonts w:ascii="Calibri" w:eastAsia="Calibri" w:hAnsi="Calibri" w:cs="Calibri"/>
      <w:sz w:val="24"/>
      <w:szCs w:val="24"/>
    </w:rPr>
  </w:style>
  <w:style w:type="paragraph" w:styleId="ListParagraph">
    <w:name w:val="List Paragraph"/>
    <w:basedOn w:val="Normal"/>
    <w:uiPriority w:val="1"/>
    <w:qFormat/>
    <w:rsid w:val="003758A7"/>
    <w:pPr>
      <w:widowControl w:val="0"/>
      <w:autoSpaceDE w:val="0"/>
      <w:autoSpaceDN w:val="0"/>
      <w:spacing w:after="0" w:line="240" w:lineRule="auto"/>
      <w:ind w:left="880" w:hanging="360"/>
    </w:pPr>
    <w:rPr>
      <w:rFonts w:ascii="Calibri" w:eastAsia="Calibri" w:hAnsi="Calibri" w:cs="Calibri"/>
    </w:rPr>
  </w:style>
  <w:style w:type="paragraph" w:styleId="BalloonText">
    <w:name w:val="Balloon Text"/>
    <w:basedOn w:val="Normal"/>
    <w:link w:val="BalloonTextChar"/>
    <w:uiPriority w:val="99"/>
    <w:semiHidden/>
    <w:unhideWhenUsed/>
    <w:rsid w:val="006F1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Logue</dc:creator>
  <cp:keywords/>
  <dc:description/>
  <cp:lastModifiedBy>Jean Logue</cp:lastModifiedBy>
  <cp:revision>2</cp:revision>
  <dcterms:created xsi:type="dcterms:W3CDTF">2020-12-11T20:53:00Z</dcterms:created>
  <dcterms:modified xsi:type="dcterms:W3CDTF">2020-12-11T20:53:00Z</dcterms:modified>
</cp:coreProperties>
</file>