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b w:val="1"/>
          <w:bCs w:val="1"/>
          <w:sz w:val="40"/>
          <w:szCs w:val="40"/>
        </w:rPr>
      </w:pPr>
      <w:r w:rsidDel="00000000" w:rsidR="00000000" w:rsidRPr="00000000">
        <w:rPr>
          <w:rtl w:val="0"/>
        </w:rPr>
        <w:t xml:space="preserve">2023-2024</w:t>
        <w:br w:type="textWrapping"/>
        <w:t xml:space="preserve">NSU Institutional Assessment Report</w:t>
      </w:r>
      <w:r w:rsidDel="00000000" w:rsidR="00000000" w:rsidRPr="00000000">
        <w:rPr>
          <w:rtl w:val="0"/>
        </w:rPr>
      </w:r>
    </w:p>
    <w:p w:rsidR="00000000" w:rsidDel="00000000" w:rsidP="00000000" w:rsidRDefault="00000000" w:rsidRPr="00000000" w14:paraId="00000002">
      <w:pPr>
        <w:pStyle w:val="Heading2"/>
        <w:spacing w:after="0" w:lineRule="auto"/>
        <w:rPr>
          <w:rFonts w:ascii="Arial" w:cs="Arial" w:eastAsia="Arial" w:hAnsi="Arial"/>
          <w:b w:val="1"/>
          <w:bCs w:val="1"/>
          <w:color w:val="00866b"/>
          <w:sz w:val="28"/>
          <w:szCs w:val="28"/>
        </w:rPr>
      </w:pPr>
      <w:r w:rsidDel="00000000" w:rsidR="00000000" w:rsidRPr="00000000">
        <w:rPr>
          <w:rtl w:val="0"/>
        </w:rPr>
        <w:t xml:space="preserve">Section I – Entry Level Assessment and Course Placement, Findings, and Supplemental Instruction</w:t>
      </w:r>
      <w:r w:rsidDel="00000000" w:rsidR="00000000" w:rsidRPr="00000000">
        <w:rPr>
          <w:rtl w:val="0"/>
        </w:rPr>
      </w:r>
    </w:p>
    <w:p w:rsidR="00000000" w:rsidDel="00000000" w:rsidP="00000000" w:rsidRDefault="00000000" w:rsidRPr="00000000" w14:paraId="00000003">
      <w:pPr>
        <w:pStyle w:val="Heading3"/>
        <w:spacing w:after="0" w:before="200" w:lineRule="auto"/>
        <w:rPr/>
      </w:pPr>
      <w:bookmarkStart w:colFirst="0" w:colLast="0" w:name="_t96hd3xxc9rk" w:id="0"/>
      <w:bookmarkEnd w:id="0"/>
      <w:r w:rsidDel="00000000" w:rsidR="00000000" w:rsidRPr="00000000">
        <w:rPr>
          <w:rtl w:val="0"/>
        </w:rPr>
        <w:t xml:space="preserve">I-1 College-Level Course Placement.</w:t>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For further instructions, please see the following:</w:t>
      </w:r>
    </w:p>
    <w:p w:rsidR="00000000" w:rsidDel="00000000" w:rsidP="00000000" w:rsidRDefault="00000000" w:rsidRPr="00000000" w14:paraId="00000005">
      <w:pPr>
        <w:numPr>
          <w:ilvl w:val="0"/>
          <w:numId w:val="8"/>
        </w:numPr>
        <w:spacing w:before="0" w:lineRule="auto"/>
        <w:ind w:left="603" w:hanging="360"/>
        <w:rPr>
          <w:sz w:val="24"/>
          <w:szCs w:val="24"/>
        </w:rPr>
      </w:pPr>
      <w:r w:rsidDel="00000000" w:rsidR="00000000" w:rsidRPr="00000000">
        <w:rPr>
          <w:color w:val="000000"/>
          <w:sz w:val="24"/>
          <w:szCs w:val="24"/>
          <w:rtl w:val="0"/>
        </w:rPr>
        <w:t xml:space="preserve">What information was used to determine college-level course placement?</w:t>
      </w:r>
      <w:r w:rsidDel="00000000" w:rsidR="00000000" w:rsidRPr="00000000">
        <w:rPr>
          <w:rtl w:val="0"/>
        </w:rPr>
      </w:r>
    </w:p>
    <w:p w:rsidR="00000000" w:rsidDel="00000000" w:rsidP="00000000" w:rsidRDefault="00000000" w:rsidRPr="00000000" w14:paraId="00000006">
      <w:pPr>
        <w:numPr>
          <w:ilvl w:val="0"/>
          <w:numId w:val="8"/>
        </w:numPr>
        <w:ind w:left="603" w:hanging="360"/>
        <w:rPr>
          <w:sz w:val="24"/>
          <w:szCs w:val="24"/>
        </w:rPr>
      </w:pPr>
      <w:r w:rsidDel="00000000" w:rsidR="00000000" w:rsidRPr="00000000">
        <w:rPr>
          <w:color w:val="000000"/>
          <w:sz w:val="24"/>
          <w:szCs w:val="24"/>
          <w:rtl w:val="0"/>
        </w:rPr>
        <w:t xml:space="preserve">How were students determined to need remediation?</w:t>
      </w:r>
      <w:r w:rsidDel="00000000" w:rsidR="00000000" w:rsidRPr="00000000">
        <w:rPr>
          <w:rtl w:val="0"/>
        </w:rPr>
      </w:r>
    </w:p>
    <w:p w:rsidR="00000000" w:rsidDel="00000000" w:rsidP="00000000" w:rsidRDefault="00000000" w:rsidRPr="00000000" w14:paraId="00000007">
      <w:pPr>
        <w:numPr>
          <w:ilvl w:val="0"/>
          <w:numId w:val="8"/>
        </w:numPr>
        <w:ind w:left="603" w:hanging="360"/>
        <w:rPr>
          <w:sz w:val="24"/>
          <w:szCs w:val="24"/>
        </w:rPr>
      </w:pPr>
      <w:r w:rsidDel="00000000" w:rsidR="00000000" w:rsidRPr="00000000">
        <w:rPr>
          <w:color w:val="000000"/>
          <w:sz w:val="24"/>
          <w:szCs w:val="24"/>
          <w:rtl w:val="0"/>
        </w:rPr>
        <w:t xml:space="preserve">What options are available for identified students to complete developmental education within the first year or 24 college-level credit hours?</w:t>
      </w:r>
      <w:r w:rsidDel="00000000" w:rsidR="00000000" w:rsidRPr="00000000">
        <w:rPr>
          <w:rtl w:val="0"/>
        </w:rPr>
      </w:r>
    </w:p>
    <w:p w:rsidR="00000000" w:rsidDel="00000000" w:rsidP="00000000" w:rsidRDefault="00000000" w:rsidRPr="00000000" w14:paraId="00000008">
      <w:pPr>
        <w:numPr>
          <w:ilvl w:val="0"/>
          <w:numId w:val="8"/>
        </w:numPr>
        <w:spacing w:after="320" w:lineRule="auto"/>
        <w:ind w:left="603" w:hanging="360"/>
        <w:rPr>
          <w:sz w:val="24"/>
          <w:szCs w:val="24"/>
        </w:rPr>
      </w:pPr>
      <w:r w:rsidDel="00000000" w:rsidR="00000000" w:rsidRPr="00000000">
        <w:rPr>
          <w:color w:val="000000"/>
          <w:sz w:val="24"/>
          <w:szCs w:val="24"/>
          <w:rtl w:val="0"/>
        </w:rPr>
        <w:t xml:space="preserve">What information was used to determine co-requisite course placement?</w:t>
      </w:r>
      <w:r w:rsidDel="00000000" w:rsidR="00000000" w:rsidRPr="00000000">
        <w:rPr>
          <w:rtl w:val="0"/>
        </w:rPr>
      </w:r>
    </w:p>
    <w:p w:rsidR="00000000" w:rsidDel="00000000" w:rsidP="00000000" w:rsidRDefault="00000000" w:rsidRPr="00000000" w14:paraId="00000009">
      <w:pPr>
        <w:pStyle w:val="Heading4"/>
        <w:spacing w:after="0" w:lineRule="auto"/>
        <w:rPr/>
      </w:pPr>
      <w:bookmarkStart w:colFirst="0" w:colLast="0" w:name="_15ai00cpxayv" w:id="1"/>
      <w:bookmarkEnd w:id="1"/>
      <w:r w:rsidDel="00000000" w:rsidR="00000000" w:rsidRPr="00000000">
        <w:rPr>
          <w:b w:val="1"/>
          <w:bCs w:val="1"/>
          <w:rtl w:val="0"/>
        </w:rPr>
        <w:t xml:space="preserve">Institutional Narrative:</w:t>
      </w:r>
      <w:r w:rsidDel="00000000" w:rsidR="00000000" w:rsidRPr="00000000">
        <w:rPr>
          <w:rtl w:val="0"/>
        </w:rPr>
      </w:r>
    </w:p>
    <w:p w:rsidR="00000000" w:rsidDel="00000000" w:rsidP="00000000" w:rsidRDefault="00000000" w:rsidRPr="00000000" w14:paraId="0000000A">
      <w:pPr>
        <w:spacing w:after="200" w:lineRule="auto"/>
        <w:rPr/>
      </w:pPr>
      <w:r w:rsidDel="00000000" w:rsidR="00000000" w:rsidRPr="00000000">
        <w:rPr>
          <w:rtl w:val="0"/>
        </w:rPr>
        <w:t xml:space="preserve">The entry-level assessment begins with ACT sub scores in English and Mathematics, as well as SAT subject test scores in Mathematics and Evidence-Based Reading and Writing (EBRW). If the ACT sub-score is 19 or higher, or the SAT subject test scores are 510 or higher for math or reading/English, the student is placed in college-level coursework.</w:t>
      </w:r>
    </w:p>
    <w:p w:rsidR="00000000" w:rsidDel="00000000" w:rsidP="00000000" w:rsidRDefault="00000000" w:rsidRPr="00000000" w14:paraId="0000000B">
      <w:pPr>
        <w:spacing w:after="200" w:lineRule="auto"/>
        <w:rPr>
          <w:color w:val="000000"/>
          <w:sz w:val="24"/>
          <w:szCs w:val="24"/>
        </w:rPr>
      </w:pPr>
      <w:r w:rsidDel="00000000" w:rsidR="00000000" w:rsidRPr="00000000">
        <w:rPr>
          <w:color w:val="000000"/>
          <w:sz w:val="24"/>
          <w:szCs w:val="24"/>
          <w:rtl w:val="0"/>
        </w:rPr>
        <w:t xml:space="preserve">If the sub score is less than the minimum cut score, secondary measures are used to determine placement. If the ACT sub-score in Mathematics, and/or Reading is 18 or below, students take a secondary exam administered by the University Advising Center. All students are placed in college-level courses; however, those who score below 250 on the English secondary exam or below 75 on the Math secondary exam must take a corresponding corequisite class.</w:t>
      </w:r>
    </w:p>
    <w:p w:rsidR="00000000" w:rsidDel="00000000" w:rsidP="00000000" w:rsidRDefault="00000000" w:rsidRPr="00000000" w14:paraId="0000000C">
      <w:pPr>
        <w:spacing w:after="200" w:lineRule="auto"/>
        <w:rPr>
          <w:i w:val="1"/>
          <w:iCs w:val="1"/>
        </w:rPr>
      </w:pPr>
      <w:r w:rsidDel="00000000" w:rsidR="00000000" w:rsidRPr="00000000">
        <w:rPr>
          <w:i w:val="1"/>
          <w:iCs w:val="1"/>
          <w:rtl w:val="0"/>
        </w:rPr>
        <w:t xml:space="preserve">Table A below summarizes the placement process.</w:t>
      </w:r>
    </w:p>
    <w:p w:rsidR="00000000" w:rsidDel="00000000" w:rsidP="00000000" w:rsidRDefault="00000000" w:rsidRPr="00000000" w14:paraId="0000000D">
      <w:pPr>
        <w:rPr>
          <w:i w:val="1"/>
          <w:iCs w:val="1"/>
        </w:rPr>
      </w:pPr>
      <w:r w:rsidDel="00000000" w:rsidR="00000000" w:rsidRPr="00000000">
        <w:rPr>
          <w:b w:val="1"/>
          <w:bCs w:val="1"/>
          <w:rtl w:val="0"/>
        </w:rPr>
        <w:t xml:space="preserve">Table A: Placement Summary</w:t>
      </w:r>
      <w:r w:rsidDel="00000000" w:rsidR="00000000" w:rsidRPr="00000000">
        <w:rPr>
          <w:rtl w:val="0"/>
        </w:rPr>
      </w:r>
    </w:p>
    <w:tbl>
      <w:tblPr>
        <w:tblStyle w:val="Table1"/>
        <w:tblW w:w="9589.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2403"/>
        <w:gridCol w:w="1454"/>
        <w:gridCol w:w="1374"/>
        <w:gridCol w:w="1752"/>
        <w:gridCol w:w="2606"/>
        <w:tblGridChange w:id="0">
          <w:tblGrid>
            <w:gridCol w:w="2403"/>
            <w:gridCol w:w="1454"/>
            <w:gridCol w:w="1374"/>
            <w:gridCol w:w="1752"/>
            <w:gridCol w:w="2606"/>
          </w:tblGrid>
        </w:tblGridChange>
      </w:tblGrid>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E">
            <w:pPr>
              <w:jc w:val="center"/>
              <w:rPr/>
            </w:pPr>
            <w:r w:rsidDel="00000000" w:rsidR="00000000" w:rsidRPr="00000000">
              <w:rPr>
                <w:b w:val="1"/>
                <w:bCs w:val="1"/>
                <w:rtl w:val="0"/>
              </w:rPr>
              <w:t xml:space="preserve">Subject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F">
            <w:pPr>
              <w:rPr/>
            </w:pPr>
            <w:r w:rsidDel="00000000" w:rsidR="00000000" w:rsidRPr="00000000">
              <w:rPr>
                <w:b w:val="1"/>
                <w:bCs w:val="1"/>
                <w:color w:val="000000"/>
                <w:rtl w:val="0"/>
              </w:rPr>
              <w:t xml:space="preserve">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0">
            <w:pPr>
              <w:jc w:val="center"/>
              <w:rPr/>
            </w:pPr>
            <w:r w:rsidDel="00000000" w:rsidR="00000000" w:rsidRPr="00000000">
              <w:rPr>
                <w:b w:val="1"/>
                <w:bCs w:val="1"/>
                <w:color w:val="000000"/>
                <w:rtl w:val="0"/>
              </w:rPr>
              <w:t xml:space="preserve">SAT^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1">
            <w:pPr>
              <w:jc w:val="center"/>
              <w:rPr/>
            </w:pPr>
            <w:r w:rsidDel="00000000" w:rsidR="00000000" w:rsidRPr="00000000">
              <w:rPr>
                <w:b w:val="1"/>
                <w:bCs w:val="1"/>
                <w:rtl w:val="0"/>
              </w:rPr>
              <w:t xml:space="preserve">Test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2">
            <w:pPr>
              <w:rPr/>
            </w:pPr>
            <w:r w:rsidDel="00000000" w:rsidR="00000000" w:rsidRPr="00000000">
              <w:rPr>
                <w:b w:val="1"/>
                <w:bCs w:val="1"/>
                <w:rtl w:val="0"/>
              </w:rPr>
              <w:t xml:space="preserve">Class</w:t>
            </w:r>
            <w:r w:rsidDel="00000000" w:rsidR="00000000" w:rsidRPr="00000000">
              <w:rPr>
                <w:rtl w:val="0"/>
              </w:rPr>
            </w:r>
          </w:p>
        </w:tc>
      </w:tr>
      <w:tr>
        <w:trPr>
          <w:cantSplit w:val="0"/>
          <w:trHeight w:val="319" w:hRule="atLeast"/>
          <w:tblHeader w:val="0"/>
        </w:trPr>
        <w:tc>
          <w:tcPr>
            <w:tcBorders>
              <w:top w:color="000000" w:space="0" w:sz="4" w:val="single"/>
              <w:left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3">
            <w:pPr>
              <w:rPr>
                <w:i w:val="1"/>
                <w:iCs w:val="1"/>
              </w:rPr>
            </w:pPr>
            <w:r w:rsidDel="00000000" w:rsidR="00000000" w:rsidRPr="00000000">
              <w:rPr>
                <w:i w:val="1"/>
                <w:iCs w:val="1"/>
                <w:rtl w:val="0"/>
              </w:rPr>
              <w:t xml:space="preserve">English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4">
            <w:pPr>
              <w:rPr/>
            </w:pPr>
            <w:r w:rsidDel="00000000" w:rsidR="00000000" w:rsidRPr="00000000">
              <w:rPr>
                <w:color w:val="000000"/>
                <w:rtl w:val="0"/>
              </w:rPr>
              <w:t xml:space="preserve">≥ 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5">
            <w:pPr>
              <w:rPr/>
            </w:pPr>
            <w:r w:rsidDel="00000000" w:rsidR="00000000" w:rsidRPr="00000000">
              <w:rPr>
                <w:color w:val="000000"/>
                <w:rtl w:val="0"/>
              </w:rPr>
              <w:t xml:space="preserve">≥ 510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6">
            <w:pPr>
              <w:rPr/>
            </w:pPr>
            <w:r w:rsidDel="00000000" w:rsidR="00000000" w:rsidRPr="00000000">
              <w:rPr>
                <w:color w:val="000000"/>
                <w:rtl w:val="0"/>
              </w:rPr>
              <w:t xml:space="preserve">≥ 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7">
            <w:pPr>
              <w:rPr/>
            </w:pPr>
            <w:r w:rsidDel="00000000" w:rsidR="00000000" w:rsidRPr="00000000">
              <w:rPr>
                <w:color w:val="000000"/>
                <w:rtl w:val="0"/>
              </w:rPr>
              <w:t xml:space="preserve">No coreq</w:t>
            </w:r>
            <w:r w:rsidDel="00000000" w:rsidR="00000000" w:rsidRPr="00000000">
              <w:rPr>
                <w:rtl w:val="0"/>
              </w:rPr>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4"/>
                <w:szCs w:val="24"/>
              </w:rPr>
            </w:pPr>
            <w:r w:rsidDel="00000000" w:rsidR="00000000" w:rsidRPr="00000000">
              <w:rPr>
                <w:i w:val="1"/>
                <w:iCs w:val="1"/>
                <w:rtl w:val="0"/>
              </w:rPr>
              <w:t xml:space="preserve">English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9">
            <w:pPr>
              <w:rPr/>
            </w:pPr>
            <w:r w:rsidDel="00000000" w:rsidR="00000000" w:rsidRPr="00000000">
              <w:rPr>
                <w:color w:val="000000"/>
                <w:rtl w:val="0"/>
              </w:rPr>
              <w:t xml:space="preserve">&lt; 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A">
            <w:pPr>
              <w:rPr/>
            </w:pPr>
            <w:r w:rsidDel="00000000" w:rsidR="00000000" w:rsidRPr="00000000">
              <w:rPr>
                <w:color w:val="000000"/>
                <w:rtl w:val="0"/>
              </w:rPr>
              <w:t xml:space="preserve">&lt; 510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B">
            <w:pPr>
              <w:rPr/>
            </w:pPr>
            <w:r w:rsidDel="00000000" w:rsidR="00000000" w:rsidRPr="00000000">
              <w:rPr>
                <w:color w:val="000000"/>
                <w:rtl w:val="0"/>
              </w:rPr>
              <w:t xml:space="preserve">&gt; 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C">
            <w:pPr>
              <w:rPr/>
            </w:pPr>
            <w:r w:rsidDel="00000000" w:rsidR="00000000" w:rsidRPr="00000000">
              <w:rPr>
                <w:color w:val="000000"/>
                <w:rtl w:val="0"/>
              </w:rPr>
              <w:t xml:space="preserve">Coreq required</w:t>
            </w:r>
            <w:r w:rsidDel="00000000" w:rsidR="00000000" w:rsidRPr="00000000">
              <w:rPr>
                <w:rtl w:val="0"/>
              </w:rPr>
            </w:r>
          </w:p>
        </w:tc>
      </w:tr>
      <w:tr>
        <w:trPr>
          <w:cantSplit w:val="0"/>
          <w:trHeight w:val="319" w:hRule="atLeast"/>
          <w:tblHeader w:val="0"/>
        </w:trPr>
        <w:tc>
          <w:tcPr>
            <w:tcBorders>
              <w:top w:color="000000" w:space="0" w:sz="4" w:val="single"/>
              <w:left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D">
            <w:pPr>
              <w:rPr>
                <w:i w:val="1"/>
                <w:iCs w:val="1"/>
              </w:rPr>
            </w:pPr>
            <w:r w:rsidDel="00000000" w:rsidR="00000000" w:rsidRPr="00000000">
              <w:rPr>
                <w:i w:val="1"/>
                <w:iCs w:val="1"/>
                <w:rtl w:val="0"/>
              </w:rPr>
              <w:t xml:space="preserve">Mathematics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E">
            <w:pPr>
              <w:rPr/>
            </w:pPr>
            <w:r w:rsidDel="00000000" w:rsidR="00000000" w:rsidRPr="00000000">
              <w:rPr>
                <w:color w:val="000000"/>
                <w:rtl w:val="0"/>
              </w:rPr>
              <w:t xml:space="preserve">≥ 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F">
            <w:pPr>
              <w:rPr/>
            </w:pPr>
            <w:r w:rsidDel="00000000" w:rsidR="00000000" w:rsidRPr="00000000">
              <w:rPr>
                <w:color w:val="000000"/>
                <w:rtl w:val="0"/>
              </w:rPr>
              <w:t xml:space="preserve">≥ 510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20">
            <w:pPr>
              <w:rPr/>
            </w:pPr>
            <w:r w:rsidDel="00000000" w:rsidR="00000000" w:rsidRPr="00000000">
              <w:rPr>
                <w:color w:val="000000"/>
                <w:rtl w:val="0"/>
              </w:rPr>
              <w:t xml:space="preserve">≥ 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21">
            <w:pPr>
              <w:rPr/>
            </w:pPr>
            <w:r w:rsidDel="00000000" w:rsidR="00000000" w:rsidRPr="00000000">
              <w:rPr>
                <w:color w:val="000000"/>
                <w:rtl w:val="0"/>
              </w:rPr>
              <w:t xml:space="preserve">No coreq</w:t>
            </w:r>
            <w:r w:rsidDel="00000000" w:rsidR="00000000" w:rsidRPr="00000000">
              <w:rPr>
                <w:rtl w:val="0"/>
              </w:rPr>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4"/>
                <w:szCs w:val="24"/>
              </w:rPr>
            </w:pPr>
            <w:r w:rsidDel="00000000" w:rsidR="00000000" w:rsidRPr="00000000">
              <w:rPr>
                <w:i w:val="1"/>
                <w:iCs w:val="1"/>
                <w:rtl w:val="0"/>
              </w:rPr>
              <w:t xml:space="preserve">Mathematics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23">
            <w:pPr>
              <w:rPr/>
            </w:pPr>
            <w:r w:rsidDel="00000000" w:rsidR="00000000" w:rsidRPr="00000000">
              <w:rPr>
                <w:color w:val="000000"/>
                <w:rtl w:val="0"/>
              </w:rPr>
              <w:t xml:space="preserve">&lt; 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24">
            <w:pPr>
              <w:rPr/>
            </w:pPr>
            <w:r w:rsidDel="00000000" w:rsidR="00000000" w:rsidRPr="00000000">
              <w:rPr>
                <w:color w:val="000000"/>
                <w:rtl w:val="0"/>
              </w:rPr>
              <w:t xml:space="preserve">&lt; 510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25">
            <w:pPr>
              <w:rPr/>
            </w:pPr>
            <w:r w:rsidDel="00000000" w:rsidR="00000000" w:rsidRPr="00000000">
              <w:rPr>
                <w:color w:val="000000"/>
                <w:rtl w:val="0"/>
              </w:rPr>
              <w:t xml:space="preserve">&lt; 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26">
            <w:pPr>
              <w:rPr/>
            </w:pPr>
            <w:r w:rsidDel="00000000" w:rsidR="00000000" w:rsidRPr="00000000">
              <w:rPr>
                <w:color w:val="000000"/>
                <w:rtl w:val="0"/>
              </w:rPr>
              <w:t xml:space="preserve">Coreq required</w:t>
            </w:r>
            <w:r w:rsidDel="00000000" w:rsidR="00000000" w:rsidRPr="00000000">
              <w:rPr>
                <w:rtl w:val="0"/>
              </w:rPr>
            </w:r>
          </w:p>
        </w:tc>
      </w:tr>
    </w:tbl>
    <w:p w:rsidR="00000000" w:rsidDel="00000000" w:rsidP="00000000" w:rsidRDefault="00000000" w:rsidRPr="00000000" w14:paraId="00000027">
      <w:pPr>
        <w:spacing w:after="320" w:lineRule="auto"/>
        <w:rPr>
          <w:sz w:val="24"/>
          <w:szCs w:val="24"/>
        </w:rPr>
      </w:pPr>
      <w:r w:rsidDel="00000000" w:rsidR="00000000" w:rsidRPr="00000000">
        <w:rPr>
          <w:i w:val="1"/>
          <w:iCs w:val="1"/>
          <w:color w:val="000000"/>
          <w:sz w:val="24"/>
          <w:szCs w:val="24"/>
          <w:rtl w:val="0"/>
        </w:rPr>
        <w:t xml:space="preserve">^Taking a placement test is based on either ACT or SAT; students are not required to meet both cut scores</w:t>
      </w:r>
      <w:r w:rsidDel="00000000" w:rsidR="00000000" w:rsidRPr="00000000">
        <w:rPr>
          <w:rtl w:val="0"/>
        </w:rPr>
      </w:r>
    </w:p>
    <w:p w:rsidR="00000000" w:rsidDel="00000000" w:rsidP="00000000" w:rsidRDefault="00000000" w:rsidRPr="00000000" w14:paraId="00000028">
      <w:pPr>
        <w:pStyle w:val="Heading3"/>
        <w:spacing w:after="0" w:lineRule="auto"/>
        <w:rPr/>
      </w:pPr>
      <w:r w:rsidDel="00000000" w:rsidR="00000000" w:rsidRPr="00000000">
        <w:rPr>
          <w:rtl w:val="0"/>
        </w:rPr>
        <w:t xml:space="preserve">I-2 Co-Requisite and College-Level Course Findings. </w:t>
      </w:r>
    </w:p>
    <w:p w:rsidR="00000000" w:rsidDel="00000000" w:rsidP="00000000" w:rsidRDefault="00000000" w:rsidRPr="00000000" w14:paraId="00000029">
      <w:pPr>
        <w:spacing w:after="200" w:before="0" w:lineRule="auto"/>
        <w:rPr/>
      </w:pPr>
      <w:r w:rsidDel="00000000" w:rsidR="00000000" w:rsidRPr="00000000">
        <w:rPr>
          <w:rtl w:val="0"/>
        </w:rPr>
        <w:t xml:space="preserve">Describe analyses and findings of student success in both co-requisite and college-level courses, effectiveness of the placement decisions, evaluations of multiple measures, and changes in the entry-level assessment process of approaches to teaching as a result of findings. </w:t>
      </w:r>
    </w:p>
    <w:p w:rsidR="00000000" w:rsidDel="00000000" w:rsidP="00000000" w:rsidRDefault="00000000" w:rsidRPr="00000000" w14:paraId="0000002A">
      <w:pPr>
        <w:pStyle w:val="Heading4"/>
        <w:spacing w:after="0" w:before="0" w:lineRule="auto"/>
        <w:rPr/>
      </w:pPr>
      <w:bookmarkStart w:colFirst="0" w:colLast="0" w:name="_a00k68r8yb8z" w:id="2"/>
      <w:bookmarkEnd w:id="2"/>
      <w:r w:rsidDel="00000000" w:rsidR="00000000" w:rsidRPr="00000000">
        <w:rPr>
          <w:rtl w:val="0"/>
        </w:rPr>
        <w:t xml:space="preserve">Institutional Narrative:</w:t>
      </w:r>
    </w:p>
    <w:p w:rsidR="00000000" w:rsidDel="00000000" w:rsidP="00000000" w:rsidRDefault="00000000" w:rsidRPr="00000000" w14:paraId="0000002B">
      <w:pPr>
        <w:spacing w:after="200" w:before="0" w:lineRule="auto"/>
        <w:rPr/>
      </w:pPr>
      <w:r w:rsidDel="00000000" w:rsidR="00000000" w:rsidRPr="00000000">
        <w:rPr>
          <w:rtl w:val="0"/>
        </w:rPr>
        <w:t xml:space="preserve">Students are notified of the need to test before their on-campus enrollment session, and many students take advantage of testing early, thus facilitating enrollment on-site.  Students may also make an appointment to test through the NSU Testing Services Office.</w:t>
      </w:r>
    </w:p>
    <w:p w:rsidR="00000000" w:rsidDel="00000000" w:rsidP="00000000" w:rsidRDefault="00000000" w:rsidRPr="00000000" w14:paraId="0000002C">
      <w:pPr>
        <w:pStyle w:val="Heading4"/>
        <w:spacing w:after="0" w:lineRule="auto"/>
        <w:rPr>
          <w:i w:val="1"/>
          <w:iCs w:val="1"/>
        </w:rPr>
      </w:pPr>
      <w:bookmarkStart w:colFirst="0" w:colLast="0" w:name="_qjepf93kl43m" w:id="3"/>
      <w:bookmarkEnd w:id="3"/>
      <w:r w:rsidDel="00000000" w:rsidR="00000000" w:rsidRPr="00000000">
        <w:rPr>
          <w:i w:val="1"/>
          <w:iCs w:val="1"/>
          <w:rtl w:val="0"/>
        </w:rPr>
        <w:t xml:space="preserve">Placement Test Summary</w:t>
      </w:r>
    </w:p>
    <w:p w:rsidR="00000000" w:rsidDel="00000000" w:rsidP="00000000" w:rsidRDefault="00000000" w:rsidRPr="00000000" w14:paraId="0000002D">
      <w:pPr>
        <w:spacing w:after="200" w:lineRule="auto"/>
        <w:rPr>
          <w:sz w:val="24"/>
          <w:szCs w:val="24"/>
        </w:rPr>
      </w:pPr>
      <w:r w:rsidDel="00000000" w:rsidR="00000000" w:rsidRPr="00000000">
        <w:rPr>
          <w:color w:val="000000"/>
          <w:sz w:val="24"/>
          <w:szCs w:val="24"/>
          <w:rtl w:val="0"/>
        </w:rPr>
        <w:t xml:space="preserve">A total of 539 students participated in some form of entry-level assessment (784 tests). The data provided in Table B, below, includes entering undergraduate students who were enrolled at NSU for the first time during the Summer 2023, Fall 2023, or Spring 2024 terms. The percentage in each category represents the percentage of secondary placement participants at either the college or co-requisite level for that subject matter.</w:t>
      </w:r>
      <w:r w:rsidDel="00000000" w:rsidR="00000000" w:rsidRPr="00000000">
        <w:rPr>
          <w:rtl w:val="0"/>
        </w:rPr>
      </w:r>
    </w:p>
    <w:p w:rsidR="00000000" w:rsidDel="00000000" w:rsidP="00000000" w:rsidRDefault="00000000" w:rsidRPr="00000000" w14:paraId="0000002E">
      <w:pPr>
        <w:spacing w:after="0" w:lineRule="auto"/>
        <w:rPr>
          <w:b w:val="1"/>
          <w:bCs w:val="1"/>
        </w:rPr>
      </w:pPr>
      <w:r w:rsidDel="00000000" w:rsidR="00000000" w:rsidRPr="00000000">
        <w:rPr>
          <w:b w:val="1"/>
          <w:bCs w:val="1"/>
          <w:rtl w:val="0"/>
        </w:rPr>
        <w:t xml:space="preserve">Table B: Placement Results 2023-24</w:t>
      </w:r>
    </w:p>
    <w:tbl>
      <w:tblPr>
        <w:tblStyle w:val="Table2"/>
        <w:tblW w:w="9363.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2200"/>
        <w:gridCol w:w="1647"/>
        <w:gridCol w:w="1325"/>
        <w:gridCol w:w="1488"/>
        <w:gridCol w:w="1205"/>
        <w:gridCol w:w="1498"/>
        <w:tblGridChange w:id="0">
          <w:tblGrid>
            <w:gridCol w:w="2200"/>
            <w:gridCol w:w="1647"/>
            <w:gridCol w:w="1325"/>
            <w:gridCol w:w="1488"/>
            <w:gridCol w:w="1205"/>
            <w:gridCol w:w="1498"/>
          </w:tblGrid>
        </w:tblGridChange>
      </w:tblGrid>
      <w:tr>
        <w:trPr>
          <w:cantSplit w:val="0"/>
          <w:trHeight w:val="418" w:hRule="atLeast"/>
          <w:tblHeader w:val="0"/>
        </w:trPr>
        <w:tc>
          <w:tcPr>
            <w:tcBorders>
              <w:top w:color="dddddd" w:space="0" w:sz="4" w:val="single"/>
              <w:left w:color="dddddd" w:space="0" w:sz="4" w:val="single"/>
              <w:bottom w:color="dddddd"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2F">
            <w:pPr>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0">
            <w:pPr>
              <w:jc w:val="center"/>
              <w:rPr>
                <w:sz w:val="24"/>
                <w:szCs w:val="24"/>
              </w:rPr>
            </w:pPr>
            <w:r w:rsidDel="00000000" w:rsidR="00000000" w:rsidRPr="00000000">
              <w:rPr>
                <w:b w:val="1"/>
                <w:bCs w:val="1"/>
                <w:color w:val="000000"/>
                <w:sz w:val="24"/>
                <w:szCs w:val="24"/>
                <w:rtl w:val="0"/>
              </w:rPr>
              <w:t xml:space="preserve">College Courses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2">
            <w:pPr>
              <w:jc w:val="center"/>
              <w:rPr>
                <w:sz w:val="24"/>
                <w:szCs w:val="24"/>
              </w:rPr>
            </w:pPr>
            <w:r w:rsidDel="00000000" w:rsidR="00000000" w:rsidRPr="00000000">
              <w:rPr>
                <w:b w:val="1"/>
                <w:bCs w:val="1"/>
                <w:color w:val="000000"/>
                <w:sz w:val="24"/>
                <w:szCs w:val="24"/>
                <w:rtl w:val="0"/>
              </w:rPr>
              <w:t xml:space="preserve">Co-Requisite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4">
            <w:pPr>
              <w:jc w:val="center"/>
              <w:rPr>
                <w:sz w:val="24"/>
                <w:szCs w:val="24"/>
              </w:rPr>
            </w:pPr>
            <w:r w:rsidDel="00000000" w:rsidR="00000000" w:rsidRPr="00000000">
              <w:rPr>
                <w:b w:val="1"/>
                <w:bCs w:val="1"/>
                <w:color w:val="000000"/>
                <w:sz w:val="24"/>
                <w:szCs w:val="24"/>
                <w:rtl w:val="0"/>
              </w:rPr>
              <w:t xml:space="preserve">Total</w:t>
            </w:r>
            <w:r w:rsidDel="00000000" w:rsidR="00000000" w:rsidRPr="00000000">
              <w:rPr>
                <w:rtl w:val="0"/>
              </w:rPr>
            </w:r>
          </w:p>
        </w:tc>
      </w:tr>
      <w:tr>
        <w:trPr>
          <w:cantSplit w:val="0"/>
          <w:trHeight w:val="418" w:hRule="atLeast"/>
          <w:tblHeader w:val="0"/>
        </w:trPr>
        <w:tc>
          <w:tcPr>
            <w:tcBorders>
              <w:top w:color="dddddd" w:space="0" w:sz="4" w:val="single"/>
              <w:left w:color="dddddd"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6">
            <w:pPr>
              <w:jc w:val="center"/>
              <w:rPr>
                <w:sz w:val="24"/>
                <w:szCs w:val="24"/>
              </w:rPr>
            </w:pPr>
            <w:r w:rsidDel="00000000" w:rsidR="00000000" w:rsidRPr="00000000">
              <w:rPr>
                <w:b w:val="1"/>
                <w:bCs w:val="1"/>
                <w:color w:val="000000"/>
                <w:sz w:val="24"/>
                <w:szCs w:val="24"/>
                <w:rtl w:val="0"/>
              </w:rPr>
              <w:t xml:space="preserve"># Tests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7">
            <w:pPr>
              <w:jc w:val="center"/>
              <w:rPr>
                <w:sz w:val="24"/>
                <w:szCs w:val="24"/>
              </w:rPr>
            </w:pPr>
            <w:r w:rsidDel="00000000" w:rsidR="00000000" w:rsidRPr="00000000">
              <w:rPr>
                <w:b w:val="1"/>
                <w:bCs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8">
            <w:pPr>
              <w:jc w:val="center"/>
              <w:rPr>
                <w:sz w:val="24"/>
                <w:szCs w:val="24"/>
              </w:rPr>
            </w:pPr>
            <w:r w:rsidDel="00000000" w:rsidR="00000000" w:rsidRPr="00000000">
              <w:rPr>
                <w:b w:val="1"/>
                <w:bCs w:val="1"/>
                <w:color w:val="000000"/>
                <w:sz w:val="24"/>
                <w:szCs w:val="24"/>
                <w:rtl w:val="0"/>
              </w:rPr>
              <w:t xml:space="preserve"># Tests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9">
            <w:pPr>
              <w:jc w:val="center"/>
              <w:rPr>
                <w:sz w:val="24"/>
                <w:szCs w:val="24"/>
              </w:rPr>
            </w:pPr>
            <w:r w:rsidDel="00000000" w:rsidR="00000000" w:rsidRPr="00000000">
              <w:rPr>
                <w:b w:val="1"/>
                <w:bCs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A">
            <w:pPr>
              <w:jc w:val="center"/>
              <w:rPr>
                <w:sz w:val="24"/>
                <w:szCs w:val="24"/>
              </w:rPr>
            </w:pPr>
            <w:r w:rsidDel="00000000" w:rsidR="00000000" w:rsidRPr="00000000">
              <w:rPr>
                <w:b w:val="1"/>
                <w:bCs w:val="1"/>
                <w:color w:val="000000"/>
                <w:sz w:val="24"/>
                <w:szCs w:val="24"/>
                <w:rtl w:val="0"/>
              </w:rPr>
              <w:t xml:space="preserve"># Tests</w:t>
            </w:r>
            <w:r w:rsidDel="00000000" w:rsidR="00000000" w:rsidRPr="00000000">
              <w:rPr>
                <w:rtl w:val="0"/>
              </w:rPr>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B">
            <w:pPr>
              <w:rPr>
                <w:sz w:val="24"/>
                <w:szCs w:val="24"/>
              </w:rPr>
            </w:pPr>
            <w:r w:rsidDel="00000000" w:rsidR="00000000" w:rsidRPr="00000000">
              <w:rPr>
                <w:rtl w:val="0"/>
              </w:rPr>
              <w:t xml:space="preserve">English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C">
            <w:pPr>
              <w:jc w:val="right"/>
              <w:rPr>
                <w:sz w:val="24"/>
                <w:szCs w:val="24"/>
              </w:rPr>
            </w:pPr>
            <w:r w:rsidDel="00000000" w:rsidR="00000000" w:rsidRPr="00000000">
              <w:rPr>
                <w:color w:val="000000"/>
                <w:sz w:val="24"/>
                <w:szCs w:val="24"/>
                <w:rtl w:val="0"/>
              </w:rPr>
              <w:t xml:space="preserve">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D">
            <w:pPr>
              <w:jc w:val="right"/>
              <w:rPr>
                <w:sz w:val="24"/>
                <w:szCs w:val="24"/>
              </w:rPr>
            </w:pPr>
            <w:r w:rsidDel="00000000" w:rsidR="00000000" w:rsidRPr="00000000">
              <w:rPr>
                <w:color w:val="000000"/>
                <w:sz w:val="24"/>
                <w:szCs w:val="24"/>
                <w:rtl w:val="0"/>
              </w:rPr>
              <w:t xml:space="preserve">24.3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E">
            <w:pPr>
              <w:jc w:val="right"/>
              <w:rPr>
                <w:sz w:val="24"/>
                <w:szCs w:val="24"/>
              </w:rPr>
            </w:pPr>
            <w:r w:rsidDel="00000000" w:rsidR="00000000" w:rsidRPr="00000000">
              <w:rPr>
                <w:color w:val="000000"/>
                <w:sz w:val="24"/>
                <w:szCs w:val="24"/>
                <w:rtl w:val="0"/>
              </w:rPr>
              <w:t xml:space="preserve">271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3F">
            <w:pPr>
              <w:jc w:val="right"/>
              <w:rPr>
                <w:sz w:val="24"/>
                <w:szCs w:val="24"/>
              </w:rPr>
            </w:pPr>
            <w:r w:rsidDel="00000000" w:rsidR="00000000" w:rsidRPr="00000000">
              <w:rPr>
                <w:color w:val="000000"/>
                <w:sz w:val="24"/>
                <w:szCs w:val="24"/>
                <w:rtl w:val="0"/>
              </w:rPr>
              <w:t xml:space="preserve">75.7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0">
            <w:pPr>
              <w:jc w:val="right"/>
              <w:rPr>
                <w:sz w:val="24"/>
                <w:szCs w:val="24"/>
              </w:rPr>
            </w:pPr>
            <w:r w:rsidDel="00000000" w:rsidR="00000000" w:rsidRPr="00000000">
              <w:rPr>
                <w:color w:val="000000"/>
                <w:sz w:val="24"/>
                <w:szCs w:val="24"/>
                <w:rtl w:val="0"/>
              </w:rPr>
              <w:t xml:space="preserve">358</w:t>
            </w: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1">
            <w:pPr>
              <w:rPr>
                <w:sz w:val="24"/>
                <w:szCs w:val="24"/>
              </w:rPr>
            </w:pPr>
            <w:r w:rsidDel="00000000" w:rsidR="00000000" w:rsidRPr="00000000">
              <w:rPr>
                <w:rtl w:val="0"/>
              </w:rPr>
              <w:t xml:space="preserve">Math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2">
            <w:pPr>
              <w:jc w:val="right"/>
              <w:rPr>
                <w:sz w:val="24"/>
                <w:szCs w:val="24"/>
              </w:rPr>
            </w:pPr>
            <w:r w:rsidDel="00000000" w:rsidR="00000000" w:rsidRPr="00000000">
              <w:rPr>
                <w:color w:val="000000"/>
                <w:sz w:val="24"/>
                <w:szCs w:val="24"/>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3">
            <w:pPr>
              <w:jc w:val="right"/>
              <w:rPr>
                <w:sz w:val="24"/>
                <w:szCs w:val="24"/>
              </w:rPr>
            </w:pPr>
            <w:r w:rsidDel="00000000" w:rsidR="00000000" w:rsidRPr="00000000">
              <w:rPr>
                <w:color w:val="000000"/>
                <w:sz w:val="24"/>
                <w:szCs w:val="24"/>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4">
            <w:pPr>
              <w:jc w:val="right"/>
              <w:rPr>
                <w:sz w:val="24"/>
                <w:szCs w:val="24"/>
              </w:rPr>
            </w:pPr>
            <w:r w:rsidDel="00000000" w:rsidR="00000000" w:rsidRPr="00000000">
              <w:rPr>
                <w:color w:val="000000"/>
                <w:sz w:val="24"/>
                <w:szCs w:val="24"/>
                <w:rtl w:val="0"/>
              </w:rPr>
              <w:t xml:space="preserve">392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5">
            <w:pPr>
              <w:jc w:val="right"/>
              <w:rPr>
                <w:sz w:val="24"/>
                <w:szCs w:val="24"/>
              </w:rPr>
            </w:pPr>
            <w:r w:rsidDel="00000000" w:rsidR="00000000" w:rsidRPr="00000000">
              <w:rPr>
                <w:color w:val="000000"/>
                <w:sz w:val="24"/>
                <w:szCs w:val="24"/>
                <w:rtl w:val="0"/>
              </w:rPr>
              <w:t xml:space="preserve">92.0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6">
            <w:pPr>
              <w:jc w:val="right"/>
              <w:rPr>
                <w:sz w:val="24"/>
                <w:szCs w:val="24"/>
              </w:rPr>
            </w:pPr>
            <w:r w:rsidDel="00000000" w:rsidR="00000000" w:rsidRPr="00000000">
              <w:rPr>
                <w:color w:val="000000"/>
                <w:sz w:val="24"/>
                <w:szCs w:val="24"/>
                <w:rtl w:val="0"/>
              </w:rPr>
              <w:t xml:space="preserve">426</w:t>
            </w:r>
            <w:r w:rsidDel="00000000" w:rsidR="00000000" w:rsidRPr="00000000">
              <w:rPr>
                <w:rtl w:val="0"/>
              </w:rPr>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7">
            <w:pPr>
              <w:rPr>
                <w:sz w:val="24"/>
                <w:szCs w:val="24"/>
              </w:rPr>
            </w:pPr>
            <w:r w:rsidDel="00000000" w:rsidR="00000000" w:rsidRPr="00000000">
              <w:rPr>
                <w:b w:val="1"/>
                <w:bCs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8">
            <w:pPr>
              <w:jc w:val="right"/>
              <w:rPr>
                <w:sz w:val="24"/>
                <w:szCs w:val="24"/>
              </w:rPr>
            </w:pPr>
            <w:r w:rsidDel="00000000" w:rsidR="00000000" w:rsidRPr="00000000">
              <w:rPr>
                <w:color w:val="000000"/>
                <w:sz w:val="24"/>
                <w:szCs w:val="24"/>
                <w:rtl w:val="0"/>
              </w:rPr>
              <w:t xml:space="preserve">121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9">
            <w:pPr>
              <w:jc w:val="right"/>
              <w:rPr>
                <w:sz w:val="24"/>
                <w:szCs w:val="24"/>
              </w:rPr>
            </w:pPr>
            <w:r w:rsidDel="00000000" w:rsidR="00000000" w:rsidRPr="00000000">
              <w:rPr>
                <w:color w:val="000000"/>
                <w:sz w:val="24"/>
                <w:szCs w:val="24"/>
                <w:rtl w:val="0"/>
              </w:rPr>
              <w:t xml:space="preserve">15.4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A">
            <w:pPr>
              <w:jc w:val="right"/>
              <w:rPr>
                <w:sz w:val="24"/>
                <w:szCs w:val="24"/>
              </w:rPr>
            </w:pPr>
            <w:r w:rsidDel="00000000" w:rsidR="00000000" w:rsidRPr="00000000">
              <w:rPr>
                <w:color w:val="000000"/>
                <w:sz w:val="24"/>
                <w:szCs w:val="24"/>
                <w:rtl w:val="0"/>
              </w:rPr>
              <w:t xml:space="preserve">663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B">
            <w:pPr>
              <w:jc w:val="right"/>
              <w:rPr>
                <w:sz w:val="24"/>
                <w:szCs w:val="24"/>
              </w:rPr>
            </w:pPr>
            <w:r w:rsidDel="00000000" w:rsidR="00000000" w:rsidRPr="00000000">
              <w:rPr>
                <w:color w:val="000000"/>
                <w:sz w:val="24"/>
                <w:szCs w:val="24"/>
                <w:rtl w:val="0"/>
              </w:rPr>
              <w:t xml:space="preserve">84.6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bottom"/>
          </w:tcPr>
          <w:p w:rsidR="00000000" w:rsidDel="00000000" w:rsidP="00000000" w:rsidRDefault="00000000" w:rsidRPr="00000000" w14:paraId="0000004C">
            <w:pPr>
              <w:jc w:val="right"/>
              <w:rPr>
                <w:sz w:val="24"/>
                <w:szCs w:val="24"/>
              </w:rPr>
            </w:pPr>
            <w:r w:rsidDel="00000000" w:rsidR="00000000" w:rsidRPr="00000000">
              <w:rPr>
                <w:color w:val="000000"/>
                <w:sz w:val="24"/>
                <w:szCs w:val="24"/>
                <w:rtl w:val="0"/>
              </w:rPr>
              <w:t xml:space="preserve">784</w:t>
            </w:r>
            <w:r w:rsidDel="00000000" w:rsidR="00000000" w:rsidRPr="00000000">
              <w:rPr>
                <w:rtl w:val="0"/>
              </w:rPr>
            </w:r>
          </w:p>
        </w:tc>
      </w:tr>
    </w:tbl>
    <w:p w:rsidR="00000000" w:rsidDel="00000000" w:rsidP="00000000" w:rsidRDefault="00000000" w:rsidRPr="00000000" w14:paraId="0000004D">
      <w:pPr>
        <w:pStyle w:val="Heading4"/>
        <w:spacing w:after="0" w:before="200" w:lineRule="auto"/>
        <w:rPr>
          <w:i w:val="1"/>
          <w:iCs w:val="1"/>
        </w:rPr>
      </w:pPr>
      <w:bookmarkStart w:colFirst="0" w:colLast="0" w:name="_7p2n8srahsk4" w:id="4"/>
      <w:bookmarkEnd w:id="4"/>
      <w:r w:rsidDel="00000000" w:rsidR="00000000" w:rsidRPr="00000000">
        <w:rPr>
          <w:i w:val="1"/>
          <w:iCs w:val="1"/>
          <w:rtl w:val="0"/>
        </w:rPr>
        <w:t xml:space="preserve">Success Rates</w:t>
      </w:r>
    </w:p>
    <w:p w:rsidR="00000000" w:rsidDel="00000000" w:rsidP="00000000" w:rsidRDefault="00000000" w:rsidRPr="00000000" w14:paraId="0000004E">
      <w:pPr>
        <w:spacing w:after="200" w:lineRule="auto"/>
        <w:rPr/>
      </w:pPr>
      <w:r w:rsidDel="00000000" w:rsidR="00000000" w:rsidRPr="00000000">
        <w:rPr>
          <w:color w:val="000000"/>
          <w:sz w:val="24"/>
          <w:szCs w:val="24"/>
          <w:rtl w:val="0"/>
        </w:rPr>
        <w:t xml:space="preserve">Table C summarizes the overall course/deficiency success rates for college-level courses with co-requisite lab/workshop and college-level classes.  The failed column in the table includes students who withdrew or were administratively withdrawn from the course.</w:t>
      </w:r>
      <w:r w:rsidDel="00000000" w:rsidR="00000000" w:rsidRPr="00000000">
        <w:rPr>
          <w:rtl w:val="0"/>
        </w:rPr>
      </w:r>
    </w:p>
    <w:p w:rsidR="00000000" w:rsidDel="00000000" w:rsidP="00000000" w:rsidRDefault="00000000" w:rsidRPr="00000000" w14:paraId="0000004F">
      <w:pPr>
        <w:spacing w:after="0" w:lineRule="auto"/>
        <w:rPr>
          <w:b w:val="1"/>
          <w:bCs w:val="1"/>
        </w:rPr>
      </w:pPr>
      <w:r w:rsidDel="00000000" w:rsidR="00000000" w:rsidRPr="00000000">
        <w:rPr>
          <w:b w:val="1"/>
          <w:bCs w:val="1"/>
          <w:rtl w:val="0"/>
        </w:rPr>
        <w:t xml:space="preserve">Table C: Overall Success Rates (include college level with and without co-requisite)</w:t>
      </w:r>
      <w:r w:rsidDel="00000000" w:rsidR="00000000" w:rsidRPr="00000000">
        <w:rPr>
          <w:rtl w:val="0"/>
        </w:rPr>
      </w:r>
    </w:p>
    <w:tbl>
      <w:tblPr>
        <w:tblStyle w:val="Table3"/>
        <w:tblW w:w="9540.0" w:type="dxa"/>
        <w:jc w:val="left"/>
        <w:tblLayout w:type="fixed"/>
        <w:tblLook w:val="0400"/>
      </w:tblPr>
      <w:tblGrid>
        <w:gridCol w:w="2197"/>
        <w:gridCol w:w="1364"/>
        <w:gridCol w:w="1091"/>
        <w:gridCol w:w="1143"/>
        <w:gridCol w:w="1187"/>
        <w:gridCol w:w="582"/>
        <w:gridCol w:w="754"/>
        <w:gridCol w:w="468"/>
        <w:gridCol w:w="754"/>
        <w:tblGridChange w:id="0">
          <w:tblGrid>
            <w:gridCol w:w="2197"/>
            <w:gridCol w:w="1364"/>
            <w:gridCol w:w="1091"/>
            <w:gridCol w:w="1143"/>
            <w:gridCol w:w="1187"/>
            <w:gridCol w:w="582"/>
            <w:gridCol w:w="754"/>
            <w:gridCol w:w="468"/>
            <w:gridCol w:w="754"/>
          </w:tblGrid>
        </w:tblGridChange>
      </w:tblGrid>
      <w:tr>
        <w:trPr>
          <w:cantSplit w:val="0"/>
          <w:trHeight w:val="249" w:hRule="atLeast"/>
          <w:tblHeader w:val="0"/>
        </w:trPr>
        <w:tc>
          <w:tcPr>
            <w:tcBorders>
              <w:top w:color="dddddd" w:space="0" w:sz="6" w:val="single"/>
              <w:left w:color="dddddd" w:space="0" w:sz="6" w:val="single"/>
              <w:bottom w:color="000000" w:space="0" w:sz="8" w:val="single"/>
              <w:right w:color="dddddd" w:space="0" w:sz="6" w:val="single"/>
            </w:tcBorders>
            <w:tcMar>
              <w:top w:w="0.0" w:type="dxa"/>
              <w:left w:w="115.0" w:type="dxa"/>
              <w:bottom w:w="0.0" w:type="dxa"/>
              <w:right w:w="115.0" w:type="dxa"/>
            </w:tcMar>
            <w:vAlign w:val="bottom"/>
          </w:tcPr>
          <w:p w:rsidR="00000000" w:rsidDel="00000000" w:rsidP="00000000" w:rsidRDefault="00000000" w:rsidRPr="00000000" w14:paraId="00000050">
            <w:pPr>
              <w:rPr>
                <w:sz w:val="24"/>
                <w:szCs w:val="24"/>
              </w:rPr>
            </w:pPr>
            <w:r w:rsidDel="00000000" w:rsidR="00000000" w:rsidRPr="00000000">
              <w:rPr>
                <w:rtl w:val="0"/>
              </w:rPr>
            </w:r>
          </w:p>
        </w:tc>
        <w:tc>
          <w:tcPr>
            <w:tcBorders>
              <w:top w:color="dddddd" w:space="0" w:sz="6" w:val="single"/>
              <w:left w:color="dddddd" w:space="0" w:sz="6" w:val="single"/>
              <w:bottom w:color="000000" w:space="0" w:sz="8" w:val="single"/>
              <w:right w:color="dddddd" w:space="0" w:sz="6" w:val="single"/>
            </w:tcBorders>
            <w:tcMar>
              <w:top w:w="0.0" w:type="dxa"/>
              <w:left w:w="115.0" w:type="dxa"/>
              <w:bottom w:w="0.0" w:type="dxa"/>
              <w:right w:w="115.0" w:type="dxa"/>
            </w:tcMar>
            <w:vAlign w:val="bottom"/>
          </w:tcPr>
          <w:p w:rsidR="00000000" w:rsidDel="00000000" w:rsidP="00000000" w:rsidRDefault="00000000" w:rsidRPr="00000000" w14:paraId="00000051">
            <w:pPr>
              <w:rPr>
                <w:sz w:val="24"/>
                <w:szCs w:val="24"/>
              </w:rPr>
            </w:pPr>
            <w:r w:rsidDel="00000000" w:rsidR="00000000" w:rsidRPr="00000000">
              <w:rPr>
                <w:rtl w:val="0"/>
              </w:rPr>
            </w:r>
          </w:p>
        </w:tc>
        <w:tc>
          <w:tcPr>
            <w:tcBorders>
              <w:top w:color="dddddd" w:space="0" w:sz="6" w:val="single"/>
              <w:left w:color="dddddd" w:space="0" w:sz="6" w:val="single"/>
              <w:bottom w:color="000000" w:space="0" w:sz="8" w:val="single"/>
              <w:right w:color="dddddd" w:space="0" w:sz="6" w:val="single"/>
            </w:tcBorders>
            <w:tcMar>
              <w:top w:w="0.0" w:type="dxa"/>
              <w:left w:w="115.0" w:type="dxa"/>
              <w:bottom w:w="0.0" w:type="dxa"/>
              <w:right w:w="115.0" w:type="dxa"/>
            </w:tcMar>
            <w:vAlign w:val="bottom"/>
          </w:tcPr>
          <w:p w:rsidR="00000000" w:rsidDel="00000000" w:rsidP="00000000" w:rsidRDefault="00000000" w:rsidRPr="00000000" w14:paraId="00000052">
            <w:pPr>
              <w:rPr>
                <w:sz w:val="24"/>
                <w:szCs w:val="24"/>
              </w:rPr>
            </w:pPr>
            <w:r w:rsidDel="00000000" w:rsidR="00000000" w:rsidRPr="00000000">
              <w:rPr>
                <w:rtl w:val="0"/>
              </w:rPr>
            </w:r>
          </w:p>
        </w:tc>
        <w:tc>
          <w:tcPr>
            <w:tcBorders>
              <w:top w:color="dddddd" w:space="0" w:sz="6" w:val="single"/>
              <w:left w:color="dddddd" w:space="0" w:sz="6" w:val="single"/>
              <w:bottom w:color="000000" w:space="0" w:sz="8" w:val="single"/>
              <w:right w:color="dddddd" w:space="0" w:sz="6" w:val="single"/>
            </w:tcBorders>
            <w:tcMar>
              <w:top w:w="0.0" w:type="dxa"/>
              <w:left w:w="115.0" w:type="dxa"/>
              <w:bottom w:w="0.0" w:type="dxa"/>
              <w:right w:w="115.0" w:type="dxa"/>
            </w:tcMar>
            <w:vAlign w:val="bottom"/>
          </w:tcPr>
          <w:p w:rsidR="00000000" w:rsidDel="00000000" w:rsidP="00000000" w:rsidRDefault="00000000" w:rsidRPr="00000000" w14:paraId="00000053">
            <w:pPr>
              <w:rPr>
                <w:sz w:val="24"/>
                <w:szCs w:val="24"/>
              </w:rPr>
            </w:pPr>
            <w:r w:rsidDel="00000000" w:rsidR="00000000" w:rsidRPr="00000000">
              <w:rPr>
                <w:rtl w:val="0"/>
              </w:rPr>
            </w:r>
          </w:p>
        </w:tc>
        <w:tc>
          <w:tcPr>
            <w:tcBorders>
              <w:top w:color="dddddd" w:space="0" w:sz="6" w:val="single"/>
              <w:left w:color="dddddd" w:space="0" w:sz="6"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54">
            <w:pPr>
              <w:rPr>
                <w:sz w:val="24"/>
                <w:szCs w:val="24"/>
              </w:rPr>
            </w:pPr>
            <w:r w:rsidDel="00000000" w:rsidR="00000000" w:rsidRPr="00000000">
              <w:rPr>
                <w:rtl w:val="0"/>
              </w:rPr>
            </w:r>
          </w:p>
        </w:tc>
        <w:tc>
          <w:tcPr>
            <w:gridSpan w:val="2"/>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55">
            <w:pPr>
              <w:jc w:val="center"/>
              <w:rPr>
                <w:sz w:val="24"/>
                <w:szCs w:val="24"/>
              </w:rPr>
            </w:pPr>
            <w:r w:rsidDel="00000000" w:rsidR="00000000" w:rsidRPr="00000000">
              <w:rPr>
                <w:b w:val="1"/>
                <w:bCs w:val="1"/>
                <w:color w:val="000000"/>
                <w:rtl w:val="0"/>
              </w:rPr>
              <w:t xml:space="preserve">Passed</w:t>
            </w:r>
            <w:r w:rsidDel="00000000" w:rsidR="00000000" w:rsidRPr="00000000">
              <w:rPr>
                <w:rtl w:val="0"/>
              </w:rPr>
            </w:r>
          </w:p>
        </w:tc>
        <w:tc>
          <w:tcPr>
            <w:gridSpan w:val="2"/>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57">
            <w:pPr>
              <w:jc w:val="center"/>
              <w:rPr>
                <w:sz w:val="24"/>
                <w:szCs w:val="24"/>
              </w:rPr>
            </w:pPr>
            <w:r w:rsidDel="00000000" w:rsidR="00000000" w:rsidRPr="00000000">
              <w:rPr>
                <w:b w:val="1"/>
                <w:bCs w:val="1"/>
                <w:color w:val="000000"/>
                <w:rtl w:val="0"/>
              </w:rPr>
              <w:t xml:space="preserve">Failed*</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59">
            <w:pPr>
              <w:rPr>
                <w:sz w:val="24"/>
                <w:szCs w:val="24"/>
              </w:rPr>
            </w:pPr>
            <w:r w:rsidDel="00000000" w:rsidR="00000000" w:rsidRPr="00000000">
              <w:rPr>
                <w:b w:val="1"/>
                <w:bCs w:val="1"/>
                <w:color w:val="000000"/>
                <w:rtl w:val="0"/>
              </w:rPr>
              <w:t xml:space="preserve">Course</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5A">
            <w:pPr>
              <w:rPr>
                <w:sz w:val="24"/>
                <w:szCs w:val="24"/>
              </w:rPr>
            </w:pPr>
            <w:r w:rsidDel="00000000" w:rsidR="00000000" w:rsidRPr="00000000">
              <w:rPr>
                <w:b w:val="1"/>
                <w:bCs w:val="1"/>
                <w:color w:val="000000"/>
                <w:rtl w:val="0"/>
              </w:rPr>
              <w:t xml:space="preserve">Semester</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5B">
            <w:pPr>
              <w:rPr>
                <w:sz w:val="24"/>
                <w:szCs w:val="24"/>
              </w:rPr>
            </w:pPr>
            <w:r w:rsidDel="00000000" w:rsidR="00000000" w:rsidRPr="00000000">
              <w:rPr>
                <w:b w:val="1"/>
                <w:bCs w:val="1"/>
                <w:color w:val="000000"/>
                <w:rtl w:val="0"/>
              </w:rPr>
              <w:t xml:space="preserve">Enrolled</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5C">
            <w:pPr>
              <w:jc w:val="center"/>
              <w:rPr>
                <w:sz w:val="24"/>
                <w:szCs w:val="24"/>
              </w:rPr>
            </w:pPr>
            <w:r w:rsidDel="00000000" w:rsidR="00000000" w:rsidRPr="00000000">
              <w:rPr>
                <w:b w:val="1"/>
                <w:bCs w:val="1"/>
                <w:color w:val="000000"/>
                <w:rtl w:val="0"/>
              </w:rPr>
              <w:t xml:space="preserve">I and AU</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5D">
            <w:pPr>
              <w:jc w:val="center"/>
              <w:rPr>
                <w:sz w:val="24"/>
                <w:szCs w:val="24"/>
              </w:rPr>
            </w:pPr>
            <w:r w:rsidDel="00000000" w:rsidR="00000000" w:rsidRPr="00000000">
              <w:rPr>
                <w:b w:val="1"/>
                <w:bCs w:val="1"/>
                <w:color w:val="000000"/>
                <w:rtl w:val="0"/>
              </w:rPr>
              <w:t xml:space="preserve">N for </w:t>
            </w:r>
            <w:r w:rsidDel="00000000" w:rsidR="00000000" w:rsidRPr="00000000">
              <w:rPr>
                <w:rtl w:val="0"/>
              </w:rPr>
            </w:r>
          </w:p>
          <w:p w:rsidR="00000000" w:rsidDel="00000000" w:rsidP="00000000" w:rsidRDefault="00000000" w:rsidRPr="00000000" w14:paraId="0000005E">
            <w:pPr>
              <w:jc w:val="center"/>
              <w:rPr>
                <w:sz w:val="24"/>
                <w:szCs w:val="24"/>
              </w:rPr>
            </w:pPr>
            <w:r w:rsidDel="00000000" w:rsidR="00000000" w:rsidRPr="00000000">
              <w:rPr>
                <w:b w:val="1"/>
                <w:bCs w:val="1"/>
                <w:color w:val="000000"/>
                <w:rtl w:val="0"/>
              </w:rPr>
              <w:t xml:space="preserve">Pass Rate</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5F">
            <w:pPr>
              <w:jc w:val="center"/>
              <w:rPr>
                <w:sz w:val="24"/>
                <w:szCs w:val="24"/>
              </w:rPr>
            </w:pPr>
            <w:r w:rsidDel="00000000" w:rsidR="00000000" w:rsidRPr="00000000">
              <w:rPr>
                <w:b w:val="1"/>
                <w:bCs w:val="1"/>
                <w:color w:val="000000"/>
                <w:rtl w:val="0"/>
              </w:rPr>
              <w:t xml:space="preserve">n</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0">
            <w:pPr>
              <w:jc w:val="center"/>
              <w:rPr>
                <w:sz w:val="24"/>
                <w:szCs w:val="24"/>
              </w:rPr>
            </w:pPr>
            <w:r w:rsidDel="00000000" w:rsidR="00000000" w:rsidRPr="00000000">
              <w:rPr>
                <w:b w:val="1"/>
                <w:bCs w:val="1"/>
                <w:color w:val="000000"/>
                <w:rtl w:val="0"/>
              </w:rPr>
              <w:t xml:space="preserve">%</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61">
            <w:pPr>
              <w:jc w:val="center"/>
              <w:rPr>
                <w:sz w:val="24"/>
                <w:szCs w:val="24"/>
              </w:rPr>
            </w:pPr>
            <w:r w:rsidDel="00000000" w:rsidR="00000000" w:rsidRPr="00000000">
              <w:rPr>
                <w:b w:val="1"/>
                <w:bCs w:val="1"/>
                <w:color w:val="000000"/>
                <w:rtl w:val="0"/>
              </w:rPr>
              <w:t xml:space="preserve">n</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2">
            <w:pPr>
              <w:jc w:val="center"/>
              <w:rPr>
                <w:sz w:val="24"/>
                <w:szCs w:val="24"/>
              </w:rPr>
            </w:pPr>
            <w:r w:rsidDel="00000000" w:rsidR="00000000" w:rsidRPr="00000000">
              <w:rPr>
                <w:b w:val="1"/>
                <w:bCs w:val="1"/>
                <w:color w:val="000000"/>
                <w:rtl w:val="0"/>
              </w:rPr>
              <w:t xml:space="preserve">%</w:t>
            </w:r>
            <w:r w:rsidDel="00000000" w:rsidR="00000000" w:rsidRPr="00000000">
              <w:rPr>
                <w:rtl w:val="0"/>
              </w:rPr>
            </w:r>
          </w:p>
        </w:tc>
      </w:tr>
      <w:tr>
        <w:trPr>
          <w:cantSplit w:val="0"/>
          <w:trHeight w:val="23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3">
            <w:pPr>
              <w:rPr>
                <w:sz w:val="24"/>
                <w:szCs w:val="24"/>
              </w:rPr>
            </w:pPr>
            <w:r w:rsidDel="00000000" w:rsidR="00000000" w:rsidRPr="00000000">
              <w:rPr>
                <w:b w:val="1"/>
                <w:bCs w:val="1"/>
                <w:color w:val="000000"/>
                <w:rtl w:val="0"/>
              </w:rPr>
              <w:t xml:space="preserve">Engl 1113 only</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4">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5">
            <w:pPr>
              <w:jc w:val="right"/>
              <w:rPr>
                <w:sz w:val="24"/>
                <w:szCs w:val="24"/>
              </w:rPr>
            </w:pPr>
            <w:r w:rsidDel="00000000" w:rsidR="00000000" w:rsidRPr="00000000">
              <w:rPr>
                <w:color w:val="000000"/>
                <w:rtl w:val="0"/>
              </w:rPr>
              <w:t xml:space="preserve">407</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66">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7">
            <w:pPr>
              <w:jc w:val="right"/>
              <w:rPr>
                <w:sz w:val="24"/>
                <w:szCs w:val="24"/>
              </w:rPr>
            </w:pPr>
            <w:r w:rsidDel="00000000" w:rsidR="00000000" w:rsidRPr="00000000">
              <w:rPr>
                <w:color w:val="000000"/>
                <w:rtl w:val="0"/>
              </w:rPr>
              <w:t xml:space="preserve">407</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68">
            <w:pPr>
              <w:jc w:val="right"/>
              <w:rPr>
                <w:sz w:val="24"/>
                <w:szCs w:val="24"/>
              </w:rPr>
            </w:pPr>
            <w:r w:rsidDel="00000000" w:rsidR="00000000" w:rsidRPr="00000000">
              <w:rPr>
                <w:color w:val="000000"/>
                <w:rtl w:val="0"/>
              </w:rPr>
              <w:t xml:space="preserve">329</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9">
            <w:pPr>
              <w:jc w:val="right"/>
              <w:rPr>
                <w:sz w:val="24"/>
                <w:szCs w:val="24"/>
              </w:rPr>
            </w:pPr>
            <w:r w:rsidDel="00000000" w:rsidR="00000000" w:rsidRPr="00000000">
              <w:rPr>
                <w:color w:val="000000"/>
                <w:rtl w:val="0"/>
              </w:rPr>
              <w:t xml:space="preserve">80.84</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6A">
            <w:pPr>
              <w:jc w:val="right"/>
              <w:rPr>
                <w:sz w:val="24"/>
                <w:szCs w:val="24"/>
              </w:rPr>
            </w:pPr>
            <w:r w:rsidDel="00000000" w:rsidR="00000000" w:rsidRPr="00000000">
              <w:rPr>
                <w:color w:val="000000"/>
                <w:rtl w:val="0"/>
              </w:rPr>
              <w:t xml:space="preserve">78</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B">
            <w:pPr>
              <w:jc w:val="right"/>
              <w:rPr>
                <w:sz w:val="24"/>
                <w:szCs w:val="24"/>
              </w:rPr>
            </w:pPr>
            <w:r w:rsidDel="00000000" w:rsidR="00000000" w:rsidRPr="00000000">
              <w:rPr>
                <w:color w:val="000000"/>
                <w:rtl w:val="0"/>
              </w:rPr>
              <w:t xml:space="preserve">19.16</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b w:val="1"/>
                <w:bCs w:val="1"/>
                <w:rtl w:val="0"/>
              </w:rPr>
              <w:t xml:space="preserve">Engl 1113 only</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D">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6E">
            <w:pPr>
              <w:jc w:val="right"/>
              <w:rPr>
                <w:sz w:val="24"/>
                <w:szCs w:val="24"/>
              </w:rPr>
            </w:pPr>
            <w:r w:rsidDel="00000000" w:rsidR="00000000" w:rsidRPr="00000000">
              <w:rPr>
                <w:color w:val="000000"/>
                <w:rtl w:val="0"/>
              </w:rPr>
              <w:t xml:space="preserve">121</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6F">
            <w:pPr>
              <w:jc w:val="right"/>
              <w:rPr>
                <w:sz w:val="24"/>
                <w:szCs w:val="24"/>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0">
            <w:pPr>
              <w:jc w:val="right"/>
              <w:rPr>
                <w:sz w:val="24"/>
                <w:szCs w:val="24"/>
              </w:rPr>
            </w:pPr>
            <w:r w:rsidDel="00000000" w:rsidR="00000000" w:rsidRPr="00000000">
              <w:rPr>
                <w:color w:val="000000"/>
                <w:rtl w:val="0"/>
              </w:rPr>
              <w:t xml:space="preserve">120</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71">
            <w:pPr>
              <w:jc w:val="right"/>
              <w:rPr>
                <w:sz w:val="24"/>
                <w:szCs w:val="24"/>
              </w:rPr>
            </w:pPr>
            <w:r w:rsidDel="00000000" w:rsidR="00000000" w:rsidRPr="00000000">
              <w:rPr>
                <w:color w:val="000000"/>
                <w:rtl w:val="0"/>
              </w:rPr>
              <w:t xml:space="preserve">85</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2">
            <w:pPr>
              <w:jc w:val="right"/>
              <w:rPr>
                <w:sz w:val="24"/>
                <w:szCs w:val="24"/>
              </w:rPr>
            </w:pPr>
            <w:r w:rsidDel="00000000" w:rsidR="00000000" w:rsidRPr="00000000">
              <w:rPr>
                <w:color w:val="000000"/>
                <w:rtl w:val="0"/>
              </w:rPr>
              <w:t xml:space="preserve">70.83</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73">
            <w:pPr>
              <w:jc w:val="right"/>
              <w:rPr>
                <w:sz w:val="24"/>
                <w:szCs w:val="24"/>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4">
            <w:pPr>
              <w:jc w:val="right"/>
              <w:rPr>
                <w:sz w:val="24"/>
                <w:szCs w:val="24"/>
              </w:rPr>
            </w:pPr>
            <w:r w:rsidDel="00000000" w:rsidR="00000000" w:rsidRPr="00000000">
              <w:rPr>
                <w:color w:val="000000"/>
                <w:rtl w:val="0"/>
              </w:rPr>
              <w:t xml:space="preserve">29.17</w:t>
            </w:r>
            <w:r w:rsidDel="00000000" w:rsidR="00000000" w:rsidRPr="00000000">
              <w:rPr>
                <w:rtl w:val="0"/>
              </w:rPr>
            </w:r>
          </w:p>
        </w:tc>
      </w:tr>
      <w:tr>
        <w:trPr>
          <w:cantSplit w:val="0"/>
          <w:trHeight w:val="23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75">
            <w:pPr>
              <w:rPr>
                <w:sz w:val="24"/>
                <w:szCs w:val="24"/>
              </w:rPr>
            </w:pPr>
            <w:r w:rsidDel="00000000" w:rsidR="00000000" w:rsidRPr="00000000">
              <w:rPr>
                <w:b w:val="1"/>
                <w:bCs w:val="1"/>
                <w:color w:val="000000"/>
                <w:rtl w:val="0"/>
              </w:rPr>
              <w:t xml:space="preserve">Engl 1113 w/co-req</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6">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7">
            <w:pPr>
              <w:jc w:val="right"/>
              <w:rPr>
                <w:sz w:val="24"/>
                <w:szCs w:val="24"/>
              </w:rPr>
            </w:pPr>
            <w:r w:rsidDel="00000000" w:rsidR="00000000" w:rsidRPr="00000000">
              <w:rPr>
                <w:color w:val="000000"/>
                <w:rtl w:val="0"/>
              </w:rPr>
              <w:t xml:space="preserve">85</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78">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9">
            <w:pPr>
              <w:jc w:val="right"/>
              <w:rPr>
                <w:sz w:val="24"/>
                <w:szCs w:val="24"/>
              </w:rPr>
            </w:pPr>
            <w:r w:rsidDel="00000000" w:rsidR="00000000" w:rsidRPr="00000000">
              <w:rPr>
                <w:color w:val="000000"/>
                <w:rtl w:val="0"/>
              </w:rPr>
              <w:t xml:space="preserve">85</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7A">
            <w:pPr>
              <w:jc w:val="right"/>
              <w:rPr>
                <w:sz w:val="24"/>
                <w:szCs w:val="24"/>
              </w:rPr>
            </w:pPr>
            <w:r w:rsidDel="00000000" w:rsidR="00000000" w:rsidRPr="00000000">
              <w:rPr>
                <w:color w:val="000000"/>
                <w:rtl w:val="0"/>
              </w:rPr>
              <w:t xml:space="preserve">70</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B">
            <w:pPr>
              <w:jc w:val="right"/>
              <w:rPr>
                <w:sz w:val="24"/>
                <w:szCs w:val="24"/>
              </w:rPr>
            </w:pPr>
            <w:r w:rsidDel="00000000" w:rsidR="00000000" w:rsidRPr="00000000">
              <w:rPr>
                <w:color w:val="000000"/>
                <w:rtl w:val="0"/>
              </w:rPr>
              <w:t xml:space="preserve">82.35</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7C">
            <w:pPr>
              <w:jc w:val="right"/>
              <w:rPr>
                <w:sz w:val="24"/>
                <w:szCs w:val="24"/>
              </w:rPr>
            </w:pPr>
            <w:r w:rsidDel="00000000" w:rsidR="00000000" w:rsidRPr="00000000">
              <w:rPr>
                <w:color w:val="000000"/>
                <w:rtl w:val="0"/>
              </w:rPr>
              <w:t xml:space="preserve">15</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D">
            <w:pPr>
              <w:jc w:val="right"/>
              <w:rPr>
                <w:sz w:val="24"/>
                <w:szCs w:val="24"/>
              </w:rPr>
            </w:pPr>
            <w:r w:rsidDel="00000000" w:rsidR="00000000" w:rsidRPr="00000000">
              <w:rPr>
                <w:color w:val="000000"/>
                <w:rtl w:val="0"/>
              </w:rPr>
              <w:t xml:space="preserve">17.65</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b w:val="1"/>
                <w:bCs w:val="1"/>
                <w:rtl w:val="0"/>
              </w:rPr>
              <w:t xml:space="preserve">Engl 1113 w/co-req</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7F">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0">
            <w:pPr>
              <w:jc w:val="right"/>
              <w:rPr>
                <w:sz w:val="24"/>
                <w:szCs w:val="24"/>
              </w:rPr>
            </w:pPr>
            <w:r w:rsidDel="00000000" w:rsidR="00000000" w:rsidRPr="00000000">
              <w:rPr>
                <w:color w:val="000000"/>
                <w:rtl w:val="0"/>
              </w:rPr>
              <w:t xml:space="preserve">36</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81">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2">
            <w:pPr>
              <w:jc w:val="right"/>
              <w:rPr>
                <w:sz w:val="24"/>
                <w:szCs w:val="24"/>
              </w:rPr>
            </w:pPr>
            <w:r w:rsidDel="00000000" w:rsidR="00000000" w:rsidRPr="00000000">
              <w:rPr>
                <w:color w:val="000000"/>
                <w:rtl w:val="0"/>
              </w:rPr>
              <w:t xml:space="preserve">36</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83">
            <w:pPr>
              <w:jc w:val="right"/>
              <w:rPr>
                <w:sz w:val="24"/>
                <w:szCs w:val="24"/>
              </w:rPr>
            </w:pPr>
            <w:r w:rsidDel="00000000" w:rsidR="00000000" w:rsidRPr="00000000">
              <w:rPr>
                <w:color w:val="000000"/>
                <w:rtl w:val="0"/>
              </w:rPr>
              <w:t xml:space="preserve">26</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4">
            <w:pPr>
              <w:jc w:val="right"/>
              <w:rPr>
                <w:sz w:val="24"/>
                <w:szCs w:val="24"/>
              </w:rPr>
            </w:pPr>
            <w:r w:rsidDel="00000000" w:rsidR="00000000" w:rsidRPr="00000000">
              <w:rPr>
                <w:color w:val="000000"/>
                <w:rtl w:val="0"/>
              </w:rPr>
              <w:t xml:space="preserve">72.22</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85">
            <w:pPr>
              <w:jc w:val="right"/>
              <w:rPr>
                <w:sz w:val="24"/>
                <w:szCs w:val="24"/>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6">
            <w:pPr>
              <w:jc w:val="right"/>
              <w:rPr>
                <w:sz w:val="24"/>
                <w:szCs w:val="24"/>
              </w:rPr>
            </w:pPr>
            <w:r w:rsidDel="00000000" w:rsidR="00000000" w:rsidRPr="00000000">
              <w:rPr>
                <w:color w:val="000000"/>
                <w:rtl w:val="0"/>
              </w:rPr>
              <w:t xml:space="preserve">27.78</w:t>
            </w:r>
            <w:r w:rsidDel="00000000" w:rsidR="00000000" w:rsidRPr="00000000">
              <w:rPr>
                <w:rtl w:val="0"/>
              </w:rPr>
            </w:r>
          </w:p>
        </w:tc>
      </w:tr>
      <w:tr>
        <w:trPr>
          <w:cantSplit w:val="0"/>
          <w:trHeight w:val="23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87">
            <w:pPr>
              <w:rPr>
                <w:sz w:val="24"/>
                <w:szCs w:val="24"/>
              </w:rPr>
            </w:pPr>
            <w:r w:rsidDel="00000000" w:rsidR="00000000" w:rsidRPr="00000000">
              <w:rPr>
                <w:b w:val="1"/>
                <w:bCs w:val="1"/>
                <w:color w:val="000000"/>
                <w:rtl w:val="0"/>
              </w:rPr>
              <w:t xml:space="preserve">Engl 1113 Total</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8">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9">
            <w:pPr>
              <w:jc w:val="right"/>
              <w:rPr>
                <w:sz w:val="24"/>
                <w:szCs w:val="24"/>
              </w:rPr>
            </w:pPr>
            <w:r w:rsidDel="00000000" w:rsidR="00000000" w:rsidRPr="00000000">
              <w:rPr>
                <w:color w:val="000000"/>
                <w:rtl w:val="0"/>
              </w:rPr>
              <w:t xml:space="preserve">492</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8A">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B">
            <w:pPr>
              <w:jc w:val="right"/>
              <w:rPr>
                <w:sz w:val="24"/>
                <w:szCs w:val="24"/>
              </w:rPr>
            </w:pPr>
            <w:r w:rsidDel="00000000" w:rsidR="00000000" w:rsidRPr="00000000">
              <w:rPr>
                <w:color w:val="000000"/>
                <w:rtl w:val="0"/>
              </w:rPr>
              <w:t xml:space="preserve">492</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8C">
            <w:pPr>
              <w:jc w:val="right"/>
              <w:rPr>
                <w:sz w:val="24"/>
                <w:szCs w:val="24"/>
              </w:rPr>
            </w:pPr>
            <w:r w:rsidDel="00000000" w:rsidR="00000000" w:rsidRPr="00000000">
              <w:rPr>
                <w:color w:val="000000"/>
                <w:rtl w:val="0"/>
              </w:rPr>
              <w:t xml:space="preserve">399</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D">
            <w:pPr>
              <w:jc w:val="right"/>
              <w:rPr>
                <w:sz w:val="24"/>
                <w:szCs w:val="24"/>
              </w:rPr>
            </w:pPr>
            <w:r w:rsidDel="00000000" w:rsidR="00000000" w:rsidRPr="00000000">
              <w:rPr>
                <w:color w:val="000000"/>
                <w:rtl w:val="0"/>
              </w:rPr>
              <w:t xml:space="preserve">81.10</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8E">
            <w:pPr>
              <w:jc w:val="right"/>
              <w:rPr>
                <w:sz w:val="24"/>
                <w:szCs w:val="24"/>
              </w:rPr>
            </w:pPr>
            <w:r w:rsidDel="00000000" w:rsidR="00000000" w:rsidRPr="00000000">
              <w:rPr>
                <w:color w:val="000000"/>
                <w:rtl w:val="0"/>
              </w:rPr>
              <w:t xml:space="preserve">93</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8F">
            <w:pPr>
              <w:jc w:val="right"/>
              <w:rPr>
                <w:sz w:val="24"/>
                <w:szCs w:val="24"/>
              </w:rPr>
            </w:pPr>
            <w:r w:rsidDel="00000000" w:rsidR="00000000" w:rsidRPr="00000000">
              <w:rPr>
                <w:color w:val="000000"/>
                <w:rtl w:val="0"/>
              </w:rPr>
              <w:t xml:space="preserve">18.90</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b w:val="1"/>
                <w:bCs w:val="1"/>
                <w:rtl w:val="0"/>
              </w:rPr>
              <w:t xml:space="preserve">Engl 1113 Total</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1">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2">
            <w:pPr>
              <w:jc w:val="right"/>
              <w:rPr>
                <w:sz w:val="24"/>
                <w:szCs w:val="24"/>
              </w:rPr>
            </w:pPr>
            <w:r w:rsidDel="00000000" w:rsidR="00000000" w:rsidRPr="00000000">
              <w:rPr>
                <w:color w:val="000000"/>
                <w:rtl w:val="0"/>
              </w:rPr>
              <w:t xml:space="preserve">157</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93">
            <w:pPr>
              <w:jc w:val="right"/>
              <w:rPr>
                <w:sz w:val="24"/>
                <w:szCs w:val="24"/>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4">
            <w:pPr>
              <w:jc w:val="right"/>
              <w:rPr>
                <w:sz w:val="24"/>
                <w:szCs w:val="24"/>
              </w:rPr>
            </w:pPr>
            <w:r w:rsidDel="00000000" w:rsidR="00000000" w:rsidRPr="00000000">
              <w:rPr>
                <w:color w:val="000000"/>
                <w:rtl w:val="0"/>
              </w:rPr>
              <w:t xml:space="preserve">156</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95">
            <w:pPr>
              <w:jc w:val="right"/>
              <w:rPr>
                <w:sz w:val="24"/>
                <w:szCs w:val="24"/>
              </w:rPr>
            </w:pPr>
            <w:r w:rsidDel="00000000" w:rsidR="00000000" w:rsidRPr="00000000">
              <w:rPr>
                <w:color w:val="000000"/>
                <w:rtl w:val="0"/>
              </w:rPr>
              <w:t xml:space="preserve">111</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6">
            <w:pPr>
              <w:jc w:val="right"/>
              <w:rPr>
                <w:sz w:val="24"/>
                <w:szCs w:val="24"/>
              </w:rPr>
            </w:pPr>
            <w:r w:rsidDel="00000000" w:rsidR="00000000" w:rsidRPr="00000000">
              <w:rPr>
                <w:color w:val="000000"/>
                <w:rtl w:val="0"/>
              </w:rPr>
              <w:t xml:space="preserve">71.15</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97">
            <w:pPr>
              <w:jc w:val="right"/>
              <w:rPr>
                <w:sz w:val="24"/>
                <w:szCs w:val="24"/>
              </w:rPr>
            </w:pPr>
            <w:r w:rsidDel="00000000" w:rsidR="00000000" w:rsidRPr="00000000">
              <w:rPr>
                <w:color w:val="000000"/>
                <w:rtl w:val="0"/>
              </w:rPr>
              <w:t xml:space="preserve">45</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8">
            <w:pPr>
              <w:jc w:val="right"/>
              <w:rPr>
                <w:sz w:val="24"/>
                <w:szCs w:val="24"/>
              </w:rPr>
            </w:pPr>
            <w:r w:rsidDel="00000000" w:rsidR="00000000" w:rsidRPr="00000000">
              <w:rPr>
                <w:color w:val="000000"/>
                <w:rtl w:val="0"/>
              </w:rPr>
              <w:t xml:space="preserve">28.85</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99">
            <w:pPr>
              <w:rPr>
                <w:sz w:val="24"/>
                <w:szCs w:val="24"/>
              </w:rPr>
            </w:pPr>
            <w:r w:rsidDel="00000000" w:rsidR="00000000" w:rsidRPr="00000000">
              <w:rPr>
                <w:b w:val="1"/>
                <w:bCs w:val="1"/>
                <w:color w:val="000000"/>
                <w:rtl w:val="0"/>
              </w:rPr>
              <w:t xml:space="preserve">Math 1313 only</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A">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B">
            <w:pPr>
              <w:jc w:val="right"/>
              <w:rPr>
                <w:sz w:val="24"/>
                <w:szCs w:val="24"/>
              </w:rPr>
            </w:pPr>
            <w:r w:rsidDel="00000000" w:rsidR="00000000" w:rsidRPr="00000000">
              <w:rPr>
                <w:color w:val="000000"/>
                <w:rtl w:val="0"/>
              </w:rPr>
              <w:t xml:space="preserve">74</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9C">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D">
            <w:pPr>
              <w:jc w:val="right"/>
              <w:rPr>
                <w:sz w:val="24"/>
                <w:szCs w:val="24"/>
              </w:rPr>
            </w:pPr>
            <w:r w:rsidDel="00000000" w:rsidR="00000000" w:rsidRPr="00000000">
              <w:rPr>
                <w:color w:val="000000"/>
                <w:rtl w:val="0"/>
              </w:rPr>
              <w:t xml:space="preserve">74</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9E">
            <w:pPr>
              <w:jc w:val="right"/>
              <w:rPr>
                <w:sz w:val="24"/>
                <w:szCs w:val="24"/>
              </w:rPr>
            </w:pPr>
            <w:r w:rsidDel="00000000" w:rsidR="00000000" w:rsidRPr="00000000">
              <w:rPr>
                <w:color w:val="000000"/>
                <w:rtl w:val="0"/>
              </w:rPr>
              <w:t xml:space="preserve">57</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9F">
            <w:pPr>
              <w:jc w:val="right"/>
              <w:rPr>
                <w:sz w:val="24"/>
                <w:szCs w:val="24"/>
              </w:rPr>
            </w:pPr>
            <w:r w:rsidDel="00000000" w:rsidR="00000000" w:rsidRPr="00000000">
              <w:rPr>
                <w:color w:val="000000"/>
                <w:rtl w:val="0"/>
              </w:rPr>
              <w:t xml:space="preserve">77.03</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A0">
            <w:pPr>
              <w:jc w:val="right"/>
              <w:rPr>
                <w:sz w:val="24"/>
                <w:szCs w:val="24"/>
              </w:rPr>
            </w:pPr>
            <w:r w:rsidDel="00000000" w:rsidR="00000000" w:rsidRPr="00000000">
              <w:rPr>
                <w:color w:val="000000"/>
                <w:rtl w:val="0"/>
              </w:rPr>
              <w:t xml:space="preserve">17</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1">
            <w:pPr>
              <w:jc w:val="right"/>
              <w:rPr>
                <w:sz w:val="24"/>
                <w:szCs w:val="24"/>
              </w:rPr>
            </w:pPr>
            <w:r w:rsidDel="00000000" w:rsidR="00000000" w:rsidRPr="00000000">
              <w:rPr>
                <w:color w:val="000000"/>
                <w:rtl w:val="0"/>
              </w:rPr>
              <w:t xml:space="preserve">22.97</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b w:val="1"/>
                <w:bCs w:val="1"/>
                <w:rtl w:val="0"/>
              </w:rPr>
              <w:t xml:space="preserve">Math 1313 only</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3">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4">
            <w:pPr>
              <w:jc w:val="right"/>
              <w:rPr>
                <w:sz w:val="24"/>
                <w:szCs w:val="24"/>
              </w:rPr>
            </w:pPr>
            <w:r w:rsidDel="00000000" w:rsidR="00000000" w:rsidRPr="00000000">
              <w:rPr>
                <w:color w:val="000000"/>
                <w:rtl w:val="0"/>
              </w:rPr>
              <w:t xml:space="preserve">53</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A5">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6">
            <w:pPr>
              <w:jc w:val="right"/>
              <w:rPr>
                <w:sz w:val="24"/>
                <w:szCs w:val="24"/>
              </w:rPr>
            </w:pPr>
            <w:r w:rsidDel="00000000" w:rsidR="00000000" w:rsidRPr="00000000">
              <w:rPr>
                <w:color w:val="000000"/>
                <w:rtl w:val="0"/>
              </w:rPr>
              <w:t xml:space="preserve">53</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A7">
            <w:pPr>
              <w:jc w:val="right"/>
              <w:rPr>
                <w:sz w:val="24"/>
                <w:szCs w:val="24"/>
              </w:rPr>
            </w:pPr>
            <w:r w:rsidDel="00000000" w:rsidR="00000000" w:rsidRPr="00000000">
              <w:rPr>
                <w:color w:val="000000"/>
                <w:rtl w:val="0"/>
              </w:rPr>
              <w:t xml:space="preserve">46</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8">
            <w:pPr>
              <w:jc w:val="right"/>
              <w:rPr>
                <w:sz w:val="24"/>
                <w:szCs w:val="24"/>
              </w:rPr>
            </w:pPr>
            <w:r w:rsidDel="00000000" w:rsidR="00000000" w:rsidRPr="00000000">
              <w:rPr>
                <w:color w:val="000000"/>
                <w:rtl w:val="0"/>
              </w:rPr>
              <w:t xml:space="preserve">86.79</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A9">
            <w:pPr>
              <w:jc w:val="right"/>
              <w:rPr>
                <w:sz w:val="24"/>
                <w:szCs w:val="24"/>
              </w:rPr>
            </w:pPr>
            <w:r w:rsidDel="00000000" w:rsidR="00000000" w:rsidRPr="00000000">
              <w:rPr>
                <w:color w:val="000000"/>
                <w:rtl w:val="0"/>
              </w:rPr>
              <w:t xml:space="preserve">7</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A">
            <w:pPr>
              <w:jc w:val="right"/>
              <w:rPr>
                <w:sz w:val="24"/>
                <w:szCs w:val="24"/>
              </w:rPr>
            </w:pPr>
            <w:r w:rsidDel="00000000" w:rsidR="00000000" w:rsidRPr="00000000">
              <w:rPr>
                <w:color w:val="000000"/>
                <w:rtl w:val="0"/>
              </w:rPr>
              <w:t xml:space="preserve">13.21</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AB">
            <w:pPr>
              <w:rPr>
                <w:sz w:val="24"/>
                <w:szCs w:val="24"/>
              </w:rPr>
            </w:pPr>
            <w:r w:rsidDel="00000000" w:rsidR="00000000" w:rsidRPr="00000000">
              <w:rPr>
                <w:b w:val="1"/>
                <w:bCs w:val="1"/>
                <w:color w:val="000000"/>
                <w:rtl w:val="0"/>
              </w:rPr>
              <w:t xml:space="preserve">Math 1313 w/co-req</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C">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D">
            <w:pPr>
              <w:jc w:val="right"/>
              <w:rPr>
                <w:sz w:val="24"/>
                <w:szCs w:val="24"/>
              </w:rPr>
            </w:pPr>
            <w:r w:rsidDel="00000000" w:rsidR="00000000" w:rsidRPr="00000000">
              <w:rPr>
                <w:color w:val="000000"/>
                <w:rtl w:val="0"/>
              </w:rPr>
              <w:t xml:space="preserve">40</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AE">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AF">
            <w:pPr>
              <w:jc w:val="right"/>
              <w:rPr>
                <w:sz w:val="24"/>
                <w:szCs w:val="24"/>
              </w:rPr>
            </w:pPr>
            <w:r w:rsidDel="00000000" w:rsidR="00000000" w:rsidRPr="00000000">
              <w:rPr>
                <w:color w:val="000000"/>
                <w:rtl w:val="0"/>
              </w:rPr>
              <w:t xml:space="preserve">40</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B0">
            <w:pPr>
              <w:jc w:val="right"/>
              <w:rPr>
                <w:sz w:val="24"/>
                <w:szCs w:val="24"/>
              </w:rPr>
            </w:pPr>
            <w:r w:rsidDel="00000000" w:rsidR="00000000" w:rsidRPr="00000000">
              <w:rPr>
                <w:color w:val="000000"/>
                <w:rtl w:val="0"/>
              </w:rPr>
              <w:t xml:space="preserve">28</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1">
            <w:pPr>
              <w:jc w:val="right"/>
              <w:rPr>
                <w:sz w:val="24"/>
                <w:szCs w:val="24"/>
              </w:rPr>
            </w:pPr>
            <w:r w:rsidDel="00000000" w:rsidR="00000000" w:rsidRPr="00000000">
              <w:rPr>
                <w:color w:val="000000"/>
                <w:rtl w:val="0"/>
              </w:rPr>
              <w:t xml:space="preserve">70.00</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B2">
            <w:pPr>
              <w:jc w:val="right"/>
              <w:rPr>
                <w:sz w:val="24"/>
                <w:szCs w:val="24"/>
              </w:rPr>
            </w:pPr>
            <w:r w:rsidDel="00000000" w:rsidR="00000000" w:rsidRPr="00000000">
              <w:rPr>
                <w:color w:val="000000"/>
                <w:rtl w:val="0"/>
              </w:rPr>
              <w:t xml:space="preserve">12</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3">
            <w:pPr>
              <w:jc w:val="right"/>
              <w:rPr>
                <w:sz w:val="24"/>
                <w:szCs w:val="24"/>
              </w:rPr>
            </w:pPr>
            <w:r w:rsidDel="00000000" w:rsidR="00000000" w:rsidRPr="00000000">
              <w:rPr>
                <w:color w:val="000000"/>
                <w:rtl w:val="0"/>
              </w:rPr>
              <w:t xml:space="preserve">30.00</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b w:val="1"/>
                <w:bCs w:val="1"/>
                <w:rtl w:val="0"/>
              </w:rPr>
              <w:t xml:space="preserve">Math 1313 w/co-req</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5">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6">
            <w:pPr>
              <w:jc w:val="right"/>
              <w:rPr>
                <w:sz w:val="24"/>
                <w:szCs w:val="24"/>
              </w:rPr>
            </w:pPr>
            <w:r w:rsidDel="00000000" w:rsidR="00000000" w:rsidRPr="00000000">
              <w:rPr>
                <w:color w:val="000000"/>
                <w:rtl w:val="0"/>
              </w:rPr>
              <w:t xml:space="preserve">38</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B7">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8">
            <w:pPr>
              <w:jc w:val="right"/>
              <w:rPr>
                <w:sz w:val="24"/>
                <w:szCs w:val="24"/>
              </w:rPr>
            </w:pPr>
            <w:r w:rsidDel="00000000" w:rsidR="00000000" w:rsidRPr="00000000">
              <w:rPr>
                <w:color w:val="000000"/>
                <w:rtl w:val="0"/>
              </w:rPr>
              <w:t xml:space="preserve">38</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B9">
            <w:pPr>
              <w:jc w:val="right"/>
              <w:rPr>
                <w:sz w:val="24"/>
                <w:szCs w:val="24"/>
              </w:rPr>
            </w:pPr>
            <w:r w:rsidDel="00000000" w:rsidR="00000000" w:rsidRPr="00000000">
              <w:rPr>
                <w:color w:val="000000"/>
                <w:rtl w:val="0"/>
              </w:rPr>
              <w:t xml:space="preserve">29</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A">
            <w:pPr>
              <w:jc w:val="right"/>
              <w:rPr>
                <w:sz w:val="24"/>
                <w:szCs w:val="24"/>
              </w:rPr>
            </w:pPr>
            <w:r w:rsidDel="00000000" w:rsidR="00000000" w:rsidRPr="00000000">
              <w:rPr>
                <w:color w:val="000000"/>
                <w:rtl w:val="0"/>
              </w:rPr>
              <w:t xml:space="preserve">76.32</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BB">
            <w:pPr>
              <w:jc w:val="right"/>
              <w:rPr>
                <w:sz w:val="24"/>
                <w:szCs w:val="24"/>
              </w:rPr>
            </w:pPr>
            <w:r w:rsidDel="00000000" w:rsidR="00000000" w:rsidRPr="00000000">
              <w:rPr>
                <w:color w:val="000000"/>
                <w:rtl w:val="0"/>
              </w:rPr>
              <w:t xml:space="preserve">9</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C">
            <w:pPr>
              <w:jc w:val="right"/>
              <w:rPr>
                <w:sz w:val="24"/>
                <w:szCs w:val="24"/>
              </w:rPr>
            </w:pPr>
            <w:r w:rsidDel="00000000" w:rsidR="00000000" w:rsidRPr="00000000">
              <w:rPr>
                <w:color w:val="000000"/>
                <w:rtl w:val="0"/>
              </w:rPr>
              <w:t xml:space="preserve">23.68</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BD">
            <w:pPr>
              <w:rPr>
                <w:sz w:val="24"/>
                <w:szCs w:val="24"/>
              </w:rPr>
            </w:pPr>
            <w:r w:rsidDel="00000000" w:rsidR="00000000" w:rsidRPr="00000000">
              <w:rPr>
                <w:b w:val="1"/>
                <w:bCs w:val="1"/>
                <w:color w:val="000000"/>
                <w:rtl w:val="0"/>
              </w:rPr>
              <w:t xml:space="preserve">Math 1313 Total</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E">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BF">
            <w:pPr>
              <w:jc w:val="right"/>
              <w:rPr>
                <w:sz w:val="24"/>
                <w:szCs w:val="24"/>
              </w:rPr>
            </w:pPr>
            <w:r w:rsidDel="00000000" w:rsidR="00000000" w:rsidRPr="00000000">
              <w:rPr>
                <w:color w:val="000000"/>
                <w:rtl w:val="0"/>
              </w:rPr>
              <w:t xml:space="preserve">114</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C0">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C1">
            <w:pPr>
              <w:jc w:val="right"/>
              <w:rPr>
                <w:sz w:val="24"/>
                <w:szCs w:val="24"/>
              </w:rPr>
            </w:pPr>
            <w:r w:rsidDel="00000000" w:rsidR="00000000" w:rsidRPr="00000000">
              <w:rPr>
                <w:color w:val="000000"/>
                <w:rtl w:val="0"/>
              </w:rPr>
              <w:t xml:space="preserve">114</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C2">
            <w:pPr>
              <w:jc w:val="right"/>
              <w:rPr>
                <w:sz w:val="24"/>
                <w:szCs w:val="24"/>
              </w:rPr>
            </w:pPr>
            <w:r w:rsidDel="00000000" w:rsidR="00000000" w:rsidRPr="00000000">
              <w:rPr>
                <w:color w:val="000000"/>
                <w:rtl w:val="0"/>
              </w:rPr>
              <w:t xml:space="preserve">85</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C3">
            <w:pPr>
              <w:jc w:val="right"/>
              <w:rPr>
                <w:sz w:val="24"/>
                <w:szCs w:val="24"/>
              </w:rPr>
            </w:pPr>
            <w:r w:rsidDel="00000000" w:rsidR="00000000" w:rsidRPr="00000000">
              <w:rPr>
                <w:color w:val="000000"/>
                <w:rtl w:val="0"/>
              </w:rPr>
              <w:t xml:space="preserve">74.56</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C4">
            <w:pPr>
              <w:jc w:val="right"/>
              <w:rPr>
                <w:sz w:val="24"/>
                <w:szCs w:val="24"/>
              </w:rPr>
            </w:pPr>
            <w:r w:rsidDel="00000000" w:rsidR="00000000" w:rsidRPr="00000000">
              <w:rPr>
                <w:color w:val="000000"/>
                <w:rtl w:val="0"/>
              </w:rPr>
              <w:t xml:space="preserve">29</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C5">
            <w:pPr>
              <w:jc w:val="right"/>
              <w:rPr>
                <w:sz w:val="24"/>
                <w:szCs w:val="24"/>
              </w:rPr>
            </w:pPr>
            <w:r w:rsidDel="00000000" w:rsidR="00000000" w:rsidRPr="00000000">
              <w:rPr>
                <w:color w:val="000000"/>
                <w:rtl w:val="0"/>
              </w:rPr>
              <w:t xml:space="preserve">25.44</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b w:val="1"/>
                <w:bCs w:val="1"/>
                <w:rtl w:val="0"/>
              </w:rPr>
              <w:t xml:space="preserve">Math 1313 Total</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C7">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C8">
            <w:pPr>
              <w:jc w:val="right"/>
              <w:rPr>
                <w:sz w:val="24"/>
                <w:szCs w:val="24"/>
              </w:rPr>
            </w:pPr>
            <w:r w:rsidDel="00000000" w:rsidR="00000000" w:rsidRPr="00000000">
              <w:rPr>
                <w:color w:val="000000"/>
                <w:rtl w:val="0"/>
              </w:rPr>
              <w:t xml:space="preserve">91</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C9">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CA">
            <w:pPr>
              <w:jc w:val="right"/>
              <w:rPr>
                <w:sz w:val="24"/>
                <w:szCs w:val="24"/>
              </w:rPr>
            </w:pPr>
            <w:r w:rsidDel="00000000" w:rsidR="00000000" w:rsidRPr="00000000">
              <w:rPr>
                <w:color w:val="000000"/>
                <w:rtl w:val="0"/>
              </w:rPr>
              <w:t xml:space="preserve">91</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CB">
            <w:pPr>
              <w:jc w:val="right"/>
              <w:rPr>
                <w:sz w:val="24"/>
                <w:szCs w:val="24"/>
              </w:rPr>
            </w:pPr>
            <w:r w:rsidDel="00000000" w:rsidR="00000000" w:rsidRPr="00000000">
              <w:rPr>
                <w:color w:val="000000"/>
                <w:rtl w:val="0"/>
              </w:rPr>
              <w:t xml:space="preserve">75</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CC">
            <w:pPr>
              <w:jc w:val="right"/>
              <w:rPr>
                <w:sz w:val="24"/>
                <w:szCs w:val="24"/>
              </w:rPr>
            </w:pPr>
            <w:r w:rsidDel="00000000" w:rsidR="00000000" w:rsidRPr="00000000">
              <w:rPr>
                <w:color w:val="000000"/>
                <w:rtl w:val="0"/>
              </w:rPr>
              <w:t xml:space="preserve">82.42</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CD">
            <w:pPr>
              <w:jc w:val="right"/>
              <w:rPr>
                <w:sz w:val="24"/>
                <w:szCs w:val="24"/>
              </w:rPr>
            </w:pPr>
            <w:r w:rsidDel="00000000" w:rsidR="00000000" w:rsidRPr="00000000">
              <w:rPr>
                <w:color w:val="000000"/>
                <w:rtl w:val="0"/>
              </w:rPr>
              <w:t xml:space="preserve">16</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CE">
            <w:pPr>
              <w:jc w:val="right"/>
              <w:rPr>
                <w:sz w:val="24"/>
                <w:szCs w:val="24"/>
              </w:rPr>
            </w:pPr>
            <w:r w:rsidDel="00000000" w:rsidR="00000000" w:rsidRPr="00000000">
              <w:rPr>
                <w:color w:val="000000"/>
                <w:rtl w:val="0"/>
              </w:rPr>
              <w:t xml:space="preserve">17.58</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CF">
            <w:pPr>
              <w:rPr>
                <w:sz w:val="24"/>
                <w:szCs w:val="24"/>
              </w:rPr>
            </w:pPr>
            <w:r w:rsidDel="00000000" w:rsidR="00000000" w:rsidRPr="00000000">
              <w:rPr>
                <w:b w:val="1"/>
                <w:bCs w:val="1"/>
                <w:color w:val="000000"/>
                <w:rtl w:val="0"/>
              </w:rPr>
              <w:t xml:space="preserve">Math 1473 only</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0">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1">
            <w:pPr>
              <w:jc w:val="right"/>
              <w:rPr>
                <w:sz w:val="24"/>
                <w:szCs w:val="24"/>
              </w:rPr>
            </w:pPr>
            <w:r w:rsidDel="00000000" w:rsidR="00000000" w:rsidRPr="00000000">
              <w:rPr>
                <w:color w:val="000000"/>
                <w:rtl w:val="0"/>
              </w:rPr>
              <w:t xml:space="preserve">37</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D2">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3">
            <w:pPr>
              <w:jc w:val="right"/>
              <w:rPr>
                <w:sz w:val="24"/>
                <w:szCs w:val="24"/>
              </w:rPr>
            </w:pPr>
            <w:r w:rsidDel="00000000" w:rsidR="00000000" w:rsidRPr="00000000">
              <w:rPr>
                <w:color w:val="000000"/>
                <w:rtl w:val="0"/>
              </w:rPr>
              <w:t xml:space="preserve">37</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D4">
            <w:pPr>
              <w:jc w:val="right"/>
              <w:rPr>
                <w:sz w:val="24"/>
                <w:szCs w:val="24"/>
              </w:rPr>
            </w:pPr>
            <w:r w:rsidDel="00000000" w:rsidR="00000000" w:rsidRPr="00000000">
              <w:rPr>
                <w:color w:val="000000"/>
                <w:rtl w:val="0"/>
              </w:rPr>
              <w:t xml:space="preserve">33</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5">
            <w:pPr>
              <w:jc w:val="right"/>
              <w:rPr>
                <w:sz w:val="24"/>
                <w:szCs w:val="24"/>
              </w:rPr>
            </w:pPr>
            <w:r w:rsidDel="00000000" w:rsidR="00000000" w:rsidRPr="00000000">
              <w:rPr>
                <w:color w:val="000000"/>
                <w:rtl w:val="0"/>
              </w:rPr>
              <w:t xml:space="preserve">89.19</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D6">
            <w:pPr>
              <w:jc w:val="right"/>
              <w:rPr>
                <w:sz w:val="24"/>
                <w:szCs w:val="24"/>
              </w:rPr>
            </w:pPr>
            <w:r w:rsidDel="00000000" w:rsidR="00000000" w:rsidRPr="00000000">
              <w:rPr>
                <w:color w:val="000000"/>
                <w:rtl w:val="0"/>
              </w:rPr>
              <w:t xml:space="preserve">4</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7">
            <w:pPr>
              <w:jc w:val="right"/>
              <w:rPr>
                <w:sz w:val="24"/>
                <w:szCs w:val="24"/>
              </w:rPr>
            </w:pPr>
            <w:r w:rsidDel="00000000" w:rsidR="00000000" w:rsidRPr="00000000">
              <w:rPr>
                <w:color w:val="000000"/>
                <w:rtl w:val="0"/>
              </w:rPr>
              <w:t xml:space="preserve">10.81</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b w:val="1"/>
                <w:bCs w:val="1"/>
                <w:rtl w:val="0"/>
              </w:rPr>
              <w:t xml:space="preserve">Math 1473 only</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9">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A">
            <w:pPr>
              <w:jc w:val="right"/>
              <w:rPr>
                <w:sz w:val="24"/>
                <w:szCs w:val="24"/>
              </w:rPr>
            </w:pPr>
            <w:r w:rsidDel="00000000" w:rsidR="00000000" w:rsidRPr="00000000">
              <w:rPr>
                <w:color w:val="000000"/>
                <w:rtl w:val="0"/>
              </w:rPr>
              <w:t xml:space="preserve">37</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DB">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C">
            <w:pPr>
              <w:jc w:val="right"/>
              <w:rPr>
                <w:sz w:val="24"/>
                <w:szCs w:val="24"/>
              </w:rPr>
            </w:pPr>
            <w:r w:rsidDel="00000000" w:rsidR="00000000" w:rsidRPr="00000000">
              <w:rPr>
                <w:color w:val="000000"/>
                <w:rtl w:val="0"/>
              </w:rPr>
              <w:t xml:space="preserve">37</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DD">
            <w:pPr>
              <w:jc w:val="right"/>
              <w:rPr>
                <w:sz w:val="24"/>
                <w:szCs w:val="24"/>
              </w:rPr>
            </w:pPr>
            <w:r w:rsidDel="00000000" w:rsidR="00000000" w:rsidRPr="00000000">
              <w:rPr>
                <w:color w:val="000000"/>
                <w:rtl w:val="0"/>
              </w:rPr>
              <w:t xml:space="preserve">30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DE">
            <w:pPr>
              <w:jc w:val="right"/>
              <w:rPr>
                <w:sz w:val="24"/>
                <w:szCs w:val="24"/>
              </w:rPr>
            </w:pPr>
            <w:r w:rsidDel="00000000" w:rsidR="00000000" w:rsidRPr="00000000">
              <w:rPr>
                <w:color w:val="000000"/>
                <w:rtl w:val="0"/>
              </w:rPr>
              <w:t xml:space="preserve">81.08</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DF">
            <w:pPr>
              <w:jc w:val="right"/>
              <w:rPr>
                <w:sz w:val="24"/>
                <w:szCs w:val="24"/>
              </w:rPr>
            </w:pPr>
            <w:r w:rsidDel="00000000" w:rsidR="00000000" w:rsidRPr="00000000">
              <w:rPr>
                <w:color w:val="000000"/>
                <w:rtl w:val="0"/>
              </w:rPr>
              <w:t xml:space="preserve">7</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0">
            <w:pPr>
              <w:jc w:val="right"/>
              <w:rPr>
                <w:sz w:val="24"/>
                <w:szCs w:val="24"/>
              </w:rPr>
            </w:pPr>
            <w:r w:rsidDel="00000000" w:rsidR="00000000" w:rsidRPr="00000000">
              <w:rPr>
                <w:color w:val="000000"/>
                <w:rtl w:val="0"/>
              </w:rPr>
              <w:t xml:space="preserve">18.92</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E1">
            <w:pPr>
              <w:rPr>
                <w:sz w:val="24"/>
                <w:szCs w:val="24"/>
              </w:rPr>
            </w:pPr>
            <w:r w:rsidDel="00000000" w:rsidR="00000000" w:rsidRPr="00000000">
              <w:rPr>
                <w:b w:val="1"/>
                <w:bCs w:val="1"/>
                <w:color w:val="000000"/>
                <w:rtl w:val="0"/>
              </w:rPr>
              <w:t xml:space="preserve">Math 1473 w/co-req</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2">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3">
            <w:pPr>
              <w:jc w:val="right"/>
              <w:rPr>
                <w:sz w:val="24"/>
                <w:szCs w:val="24"/>
              </w:rPr>
            </w:pPr>
            <w:r w:rsidDel="00000000" w:rsidR="00000000" w:rsidRPr="00000000">
              <w:rPr>
                <w:color w:val="000000"/>
                <w:rtl w:val="0"/>
              </w:rPr>
              <w:t xml:space="preserve">33</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E4">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5">
            <w:pPr>
              <w:jc w:val="right"/>
              <w:rPr>
                <w:sz w:val="24"/>
                <w:szCs w:val="24"/>
              </w:rPr>
            </w:pPr>
            <w:r w:rsidDel="00000000" w:rsidR="00000000" w:rsidRPr="00000000">
              <w:rPr>
                <w:color w:val="000000"/>
                <w:rtl w:val="0"/>
              </w:rPr>
              <w:t xml:space="preserve">33</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E6">
            <w:pPr>
              <w:jc w:val="right"/>
              <w:rPr>
                <w:sz w:val="24"/>
                <w:szCs w:val="24"/>
              </w:rPr>
            </w:pPr>
            <w:r w:rsidDel="00000000" w:rsidR="00000000" w:rsidRPr="00000000">
              <w:rPr>
                <w:color w:val="000000"/>
                <w:rtl w:val="0"/>
              </w:rPr>
              <w:t xml:space="preserve">25</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7">
            <w:pPr>
              <w:jc w:val="right"/>
              <w:rPr>
                <w:sz w:val="24"/>
                <w:szCs w:val="24"/>
              </w:rPr>
            </w:pPr>
            <w:r w:rsidDel="00000000" w:rsidR="00000000" w:rsidRPr="00000000">
              <w:rPr>
                <w:color w:val="000000"/>
                <w:rtl w:val="0"/>
              </w:rPr>
              <w:t xml:space="preserve">75.76</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E8">
            <w:pPr>
              <w:jc w:val="right"/>
              <w:rPr>
                <w:sz w:val="24"/>
                <w:szCs w:val="24"/>
              </w:rPr>
            </w:pPr>
            <w:r w:rsidDel="00000000" w:rsidR="00000000" w:rsidRPr="00000000">
              <w:rPr>
                <w:color w:val="000000"/>
                <w:rtl w:val="0"/>
              </w:rPr>
              <w:t xml:space="preserve">8</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9">
            <w:pPr>
              <w:jc w:val="right"/>
              <w:rPr>
                <w:sz w:val="24"/>
                <w:szCs w:val="24"/>
              </w:rPr>
            </w:pPr>
            <w:r w:rsidDel="00000000" w:rsidR="00000000" w:rsidRPr="00000000">
              <w:rPr>
                <w:color w:val="000000"/>
                <w:rtl w:val="0"/>
              </w:rPr>
              <w:t xml:space="preserve">24.24</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b w:val="1"/>
                <w:bCs w:val="1"/>
                <w:rtl w:val="0"/>
              </w:rPr>
              <w:t xml:space="preserve">Math 1473 w/co-req</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B">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C">
            <w:pPr>
              <w:jc w:val="right"/>
              <w:rPr>
                <w:sz w:val="24"/>
                <w:szCs w:val="24"/>
              </w:rPr>
            </w:pPr>
            <w:r w:rsidDel="00000000" w:rsidR="00000000" w:rsidRPr="00000000">
              <w:rPr>
                <w:color w:val="000000"/>
                <w:rtl w:val="0"/>
              </w:rPr>
              <w:t xml:space="preserve">20</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ED">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EE">
            <w:pPr>
              <w:jc w:val="right"/>
              <w:rPr>
                <w:sz w:val="24"/>
                <w:szCs w:val="24"/>
              </w:rPr>
            </w:pPr>
            <w:r w:rsidDel="00000000" w:rsidR="00000000" w:rsidRPr="00000000">
              <w:rPr>
                <w:color w:val="00000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EF">
            <w:pPr>
              <w:jc w:val="right"/>
              <w:rPr>
                <w:sz w:val="24"/>
                <w:szCs w:val="24"/>
              </w:rPr>
            </w:pPr>
            <w:r w:rsidDel="00000000" w:rsidR="00000000" w:rsidRPr="00000000">
              <w:rPr>
                <w:color w:val="000000"/>
                <w:rtl w:val="0"/>
              </w:rPr>
              <w:t xml:space="preserve">16</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0">
            <w:pPr>
              <w:jc w:val="right"/>
              <w:rPr>
                <w:sz w:val="24"/>
                <w:szCs w:val="24"/>
              </w:rPr>
            </w:pPr>
            <w:r w:rsidDel="00000000" w:rsidR="00000000" w:rsidRPr="00000000">
              <w:rPr>
                <w:color w:val="000000"/>
                <w:rtl w:val="0"/>
              </w:rPr>
              <w:t xml:space="preserve">80.00</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F1">
            <w:pPr>
              <w:jc w:val="right"/>
              <w:rPr>
                <w:sz w:val="24"/>
                <w:szCs w:val="24"/>
              </w:rPr>
            </w:pPr>
            <w:r w:rsidDel="00000000" w:rsidR="00000000" w:rsidRPr="00000000">
              <w:rPr>
                <w:color w:val="000000"/>
                <w:rtl w:val="0"/>
              </w:rPr>
              <w:t xml:space="preserve">4</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2">
            <w:pPr>
              <w:jc w:val="right"/>
              <w:rPr>
                <w:sz w:val="24"/>
                <w:szCs w:val="24"/>
              </w:rPr>
            </w:pPr>
            <w:r w:rsidDel="00000000" w:rsidR="00000000" w:rsidRPr="00000000">
              <w:rPr>
                <w:color w:val="000000"/>
                <w:rtl w:val="0"/>
              </w:rPr>
              <w:t xml:space="preserve">20.00</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F3">
            <w:pPr>
              <w:rPr>
                <w:sz w:val="24"/>
                <w:szCs w:val="24"/>
              </w:rPr>
            </w:pPr>
            <w:r w:rsidDel="00000000" w:rsidR="00000000" w:rsidRPr="00000000">
              <w:rPr>
                <w:b w:val="1"/>
                <w:bCs w:val="1"/>
                <w:color w:val="000000"/>
                <w:rtl w:val="0"/>
              </w:rPr>
              <w:t xml:space="preserve">Math 1473 Total</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4">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5">
            <w:pPr>
              <w:jc w:val="right"/>
              <w:rPr>
                <w:sz w:val="24"/>
                <w:szCs w:val="24"/>
              </w:rPr>
            </w:pPr>
            <w:r w:rsidDel="00000000" w:rsidR="00000000" w:rsidRPr="00000000">
              <w:rPr>
                <w:color w:val="000000"/>
                <w:rtl w:val="0"/>
              </w:rPr>
              <w:t xml:space="preserve">70</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F6">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7">
            <w:pPr>
              <w:jc w:val="right"/>
              <w:rPr>
                <w:sz w:val="24"/>
                <w:szCs w:val="24"/>
              </w:rPr>
            </w:pPr>
            <w:r w:rsidDel="00000000" w:rsidR="00000000" w:rsidRPr="00000000">
              <w:rPr>
                <w:color w:val="000000"/>
                <w:rtl w:val="0"/>
              </w:rPr>
              <w:t xml:space="preserve">70</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F8">
            <w:pPr>
              <w:jc w:val="right"/>
              <w:rPr>
                <w:sz w:val="24"/>
                <w:szCs w:val="24"/>
              </w:rPr>
            </w:pPr>
            <w:r w:rsidDel="00000000" w:rsidR="00000000" w:rsidRPr="00000000">
              <w:rPr>
                <w:color w:val="000000"/>
                <w:rtl w:val="0"/>
              </w:rPr>
              <w:t xml:space="preserve">58</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9">
            <w:pPr>
              <w:jc w:val="right"/>
              <w:rPr>
                <w:sz w:val="24"/>
                <w:szCs w:val="24"/>
              </w:rPr>
            </w:pPr>
            <w:r w:rsidDel="00000000" w:rsidR="00000000" w:rsidRPr="00000000">
              <w:rPr>
                <w:color w:val="000000"/>
                <w:rtl w:val="0"/>
              </w:rPr>
              <w:t xml:space="preserve">82.86</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FA">
            <w:pPr>
              <w:jc w:val="right"/>
              <w:rPr>
                <w:sz w:val="24"/>
                <w:szCs w:val="24"/>
              </w:rPr>
            </w:pPr>
            <w:r w:rsidDel="00000000" w:rsidR="00000000" w:rsidRPr="00000000">
              <w:rPr>
                <w:color w:val="000000"/>
                <w:rtl w:val="0"/>
              </w:rPr>
              <w:t xml:space="preserve">12</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B">
            <w:pPr>
              <w:jc w:val="right"/>
              <w:rPr>
                <w:sz w:val="24"/>
                <w:szCs w:val="24"/>
              </w:rPr>
            </w:pPr>
            <w:r w:rsidDel="00000000" w:rsidR="00000000" w:rsidRPr="00000000">
              <w:rPr>
                <w:color w:val="000000"/>
                <w:rtl w:val="0"/>
              </w:rPr>
              <w:t xml:space="preserve">17.14</w:t>
            </w:r>
            <w:r w:rsidDel="00000000" w:rsidR="00000000" w:rsidRPr="00000000">
              <w:rPr>
                <w:rtl w:val="0"/>
              </w:rPr>
            </w:r>
          </w:p>
        </w:tc>
      </w:tr>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b w:val="1"/>
                <w:bCs w:val="1"/>
                <w:rtl w:val="0"/>
              </w:rPr>
              <w:t xml:space="preserve">Math 1473 Total</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D">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0FE">
            <w:pPr>
              <w:jc w:val="right"/>
              <w:rPr>
                <w:sz w:val="24"/>
                <w:szCs w:val="24"/>
              </w:rPr>
            </w:pPr>
            <w:r w:rsidDel="00000000" w:rsidR="00000000" w:rsidRPr="00000000">
              <w:rPr>
                <w:color w:val="000000"/>
                <w:rtl w:val="0"/>
              </w:rPr>
              <w:t xml:space="preserve">57</w:t>
            </w: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0FF">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0">
            <w:pPr>
              <w:jc w:val="right"/>
              <w:rPr>
                <w:sz w:val="24"/>
                <w:szCs w:val="24"/>
              </w:rPr>
            </w:pPr>
            <w:r w:rsidDel="00000000" w:rsidR="00000000" w:rsidRPr="00000000">
              <w:rPr>
                <w:color w:val="000000"/>
                <w:rtl w:val="0"/>
              </w:rPr>
              <w:t xml:space="preserve">57</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1">
            <w:pPr>
              <w:jc w:val="right"/>
              <w:rPr>
                <w:sz w:val="24"/>
                <w:szCs w:val="24"/>
              </w:rPr>
            </w:pPr>
            <w:r w:rsidDel="00000000" w:rsidR="00000000" w:rsidRPr="00000000">
              <w:rPr>
                <w:color w:val="000000"/>
                <w:rtl w:val="0"/>
              </w:rPr>
              <w:t xml:space="preserve">46</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2">
            <w:pPr>
              <w:jc w:val="right"/>
              <w:rPr>
                <w:sz w:val="24"/>
                <w:szCs w:val="24"/>
              </w:rPr>
            </w:pPr>
            <w:r w:rsidDel="00000000" w:rsidR="00000000" w:rsidRPr="00000000">
              <w:rPr>
                <w:color w:val="000000"/>
                <w:rtl w:val="0"/>
              </w:rPr>
              <w:t xml:space="preserve">80.70</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3">
            <w:pPr>
              <w:jc w:val="right"/>
              <w:rPr>
                <w:sz w:val="24"/>
                <w:szCs w:val="24"/>
              </w:rPr>
            </w:pPr>
            <w:r w:rsidDel="00000000" w:rsidR="00000000" w:rsidRPr="00000000">
              <w:rPr>
                <w:color w:val="000000"/>
                <w:rtl w:val="0"/>
              </w:rPr>
              <w:t xml:space="preserve">11</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4">
            <w:pPr>
              <w:jc w:val="right"/>
              <w:rPr>
                <w:sz w:val="24"/>
                <w:szCs w:val="24"/>
              </w:rPr>
            </w:pPr>
            <w:r w:rsidDel="00000000" w:rsidR="00000000" w:rsidRPr="00000000">
              <w:rPr>
                <w:color w:val="000000"/>
                <w:rtl w:val="0"/>
              </w:rPr>
              <w:t xml:space="preserve">19.30</w:t>
            </w:r>
            <w:r w:rsidDel="00000000" w:rsidR="00000000" w:rsidRPr="00000000">
              <w:rPr>
                <w:rtl w:val="0"/>
              </w:rPr>
            </w:r>
          </w:p>
        </w:tc>
      </w:tr>
      <w:tr>
        <w:trPr>
          <w:cantSplit w:val="0"/>
          <w:trHeight w:val="238" w:hRule="atLeast"/>
          <w:tblHeader w:val="0"/>
        </w:trPr>
        <w:tc>
          <w:tcPr>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105">
            <w:pPr>
              <w:rPr>
                <w:sz w:val="24"/>
                <w:szCs w:val="24"/>
              </w:rPr>
            </w:pPr>
            <w:r w:rsidDel="00000000" w:rsidR="00000000" w:rsidRPr="00000000">
              <w:rPr>
                <w:b w:val="1"/>
                <w:bCs w:val="1"/>
                <w:color w:val="000000"/>
                <w:rtl w:val="0"/>
              </w:rPr>
              <w:t xml:space="preserve">Math 1523 only</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6">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7">
            <w:pPr>
              <w:jc w:val="right"/>
              <w:rPr>
                <w:sz w:val="24"/>
                <w:szCs w:val="24"/>
              </w:rPr>
            </w:pPr>
            <w:r w:rsidDel="00000000" w:rsidR="00000000" w:rsidRPr="00000000">
              <w:rPr>
                <w:color w:val="000000"/>
                <w:rtl w:val="0"/>
              </w:rPr>
              <w:t xml:space="preserve">70</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8">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9">
            <w:pPr>
              <w:jc w:val="right"/>
              <w:rPr>
                <w:sz w:val="24"/>
                <w:szCs w:val="24"/>
              </w:rPr>
            </w:pPr>
            <w:r w:rsidDel="00000000" w:rsidR="00000000" w:rsidRPr="00000000">
              <w:rPr>
                <w:color w:val="000000"/>
                <w:rtl w:val="0"/>
              </w:rPr>
              <w:t xml:space="preserve">70</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A">
            <w:pPr>
              <w:jc w:val="right"/>
              <w:rPr>
                <w:sz w:val="24"/>
                <w:szCs w:val="24"/>
              </w:rPr>
            </w:pPr>
            <w:r w:rsidDel="00000000" w:rsidR="00000000" w:rsidRPr="00000000">
              <w:rPr>
                <w:color w:val="000000"/>
                <w:rtl w:val="0"/>
              </w:rPr>
              <w:t xml:space="preserve">55</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B">
            <w:pPr>
              <w:jc w:val="right"/>
              <w:rPr>
                <w:sz w:val="24"/>
                <w:szCs w:val="24"/>
              </w:rPr>
            </w:pPr>
            <w:r w:rsidDel="00000000" w:rsidR="00000000" w:rsidRPr="00000000">
              <w:rPr>
                <w:color w:val="000000"/>
                <w:rtl w:val="0"/>
              </w:rPr>
              <w:t xml:space="preserve">78.57</w:t>
            </w: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0C">
            <w:pPr>
              <w:jc w:val="right"/>
              <w:rPr>
                <w:sz w:val="24"/>
                <w:szCs w:val="24"/>
              </w:rPr>
            </w:pPr>
            <w:r w:rsidDel="00000000" w:rsidR="00000000" w:rsidRPr="00000000">
              <w:rPr>
                <w:color w:val="000000"/>
                <w:rtl w:val="0"/>
              </w:rPr>
              <w:t xml:space="preserve">15</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D">
            <w:pPr>
              <w:jc w:val="right"/>
              <w:rPr>
                <w:sz w:val="24"/>
                <w:szCs w:val="24"/>
              </w:rPr>
            </w:pPr>
            <w:r w:rsidDel="00000000" w:rsidR="00000000" w:rsidRPr="00000000">
              <w:rPr>
                <w:color w:val="000000"/>
                <w:rtl w:val="0"/>
              </w:rPr>
              <w:t xml:space="preserve">21.43</w:t>
            </w:r>
            <w:r w:rsidDel="00000000" w:rsidR="00000000" w:rsidRPr="00000000">
              <w:rPr>
                <w:rtl w:val="0"/>
              </w:rPr>
            </w:r>
          </w:p>
        </w:tc>
      </w:tr>
      <w:tr>
        <w:trPr>
          <w:cantSplit w:val="0"/>
          <w:trHeight w:val="238" w:hRule="atLeast"/>
          <w:tblHeader w:val="0"/>
        </w:trPr>
        <w:tc>
          <w:tcPr>
            <w:tcBorders>
              <w:top w:color="000000" w:space="0" w:sz="8" w:val="single"/>
              <w:left w:color="000000" w:space="0" w:sz="8" w:val="single"/>
              <w:bottom w:color="000000" w:space="0" w:sz="4"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b w:val="1"/>
                <w:bCs w:val="1"/>
                <w:rtl w:val="0"/>
              </w:rPr>
              <w:t xml:space="preserve">Math 1523 only</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0F">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0">
            <w:pPr>
              <w:jc w:val="right"/>
              <w:rPr>
                <w:sz w:val="24"/>
                <w:szCs w:val="24"/>
              </w:rPr>
            </w:pPr>
            <w:r w:rsidDel="00000000" w:rsidR="00000000" w:rsidRPr="00000000">
              <w:rPr>
                <w:color w:val="000000"/>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11">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2">
            <w:pPr>
              <w:jc w:val="right"/>
              <w:rPr>
                <w:sz w:val="24"/>
                <w:szCs w:val="24"/>
              </w:rPr>
            </w:pPr>
            <w:r w:rsidDel="00000000" w:rsidR="00000000" w:rsidRPr="00000000">
              <w:rPr>
                <w:color w:val="000000"/>
                <w:rtl w:val="0"/>
              </w:rPr>
              <w:t xml:space="preserve">42</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13">
            <w:pPr>
              <w:jc w:val="right"/>
              <w:rPr>
                <w:sz w:val="24"/>
                <w:szCs w:val="24"/>
              </w:rPr>
            </w:pPr>
            <w:r w:rsidDel="00000000" w:rsidR="00000000" w:rsidRPr="00000000">
              <w:rPr>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4">
            <w:pPr>
              <w:jc w:val="right"/>
              <w:rPr>
                <w:sz w:val="24"/>
                <w:szCs w:val="24"/>
              </w:rPr>
            </w:pPr>
            <w:r w:rsidDel="00000000" w:rsidR="00000000" w:rsidRPr="00000000">
              <w:rPr>
                <w:color w:val="000000"/>
                <w:rtl w:val="0"/>
              </w:rPr>
              <w:t xml:space="preserve">80.95</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15">
            <w:pPr>
              <w:jc w:val="right"/>
              <w:rPr>
                <w:sz w:val="24"/>
                <w:szCs w:val="24"/>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6">
            <w:pPr>
              <w:jc w:val="right"/>
              <w:rPr>
                <w:sz w:val="24"/>
                <w:szCs w:val="24"/>
              </w:rPr>
            </w:pPr>
            <w:r w:rsidDel="00000000" w:rsidR="00000000" w:rsidRPr="00000000">
              <w:rPr>
                <w:color w:val="000000"/>
                <w:rtl w:val="0"/>
              </w:rPr>
              <w:t xml:space="preserve">19.05</w:t>
            </w:r>
            <w:r w:rsidDel="00000000" w:rsidR="00000000" w:rsidRPr="00000000">
              <w:rPr>
                <w:rtl w:val="0"/>
              </w:rPr>
            </w:r>
          </w:p>
        </w:tc>
      </w:tr>
      <w:tr>
        <w:trPr>
          <w:cantSplit w:val="0"/>
          <w:trHeight w:val="675.9375" w:hRule="atLeast"/>
          <w:tblHeader w:val="0"/>
        </w:trPr>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tcPr>
          <w:p w:rsidR="00000000" w:rsidDel="00000000" w:rsidP="00000000" w:rsidRDefault="00000000" w:rsidRPr="00000000" w14:paraId="00000117">
            <w:pPr>
              <w:rPr>
                <w:sz w:val="24"/>
                <w:szCs w:val="24"/>
              </w:rPr>
            </w:pPr>
            <w:r w:rsidDel="00000000" w:rsidR="00000000" w:rsidRPr="00000000">
              <w:rPr>
                <w:b w:val="1"/>
                <w:bCs w:val="1"/>
                <w:color w:val="000000"/>
                <w:rtl w:val="0"/>
              </w:rPr>
              <w:t xml:space="preserve">Math 1523 w/co-req</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8">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9">
            <w:pPr>
              <w:jc w:val="right"/>
              <w:rPr>
                <w:sz w:val="24"/>
                <w:szCs w:val="24"/>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1A">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B">
            <w:pPr>
              <w:jc w:val="right"/>
              <w:rPr>
                <w:sz w:val="24"/>
                <w:szCs w:val="24"/>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1C">
            <w:pPr>
              <w:jc w:val="right"/>
              <w:rPr>
                <w:sz w:val="24"/>
                <w:szCs w:val="24"/>
              </w:rPr>
            </w:pPr>
            <w:r w:rsidDel="00000000" w:rsidR="00000000" w:rsidRPr="00000000">
              <w:rPr>
                <w:color w:val="000000"/>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D">
            <w:pPr>
              <w:jc w:val="right"/>
              <w:rPr>
                <w:sz w:val="24"/>
                <w:szCs w:val="24"/>
              </w:rPr>
            </w:pPr>
            <w:r w:rsidDel="00000000" w:rsidR="00000000" w:rsidRPr="00000000">
              <w:rPr>
                <w:color w:val="000000"/>
                <w:rtl w:val="0"/>
              </w:rPr>
              <w:t xml:space="preserve">74.29</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1E">
            <w:pPr>
              <w:jc w:val="right"/>
              <w:rPr>
                <w:sz w:val="24"/>
                <w:szCs w:val="24"/>
              </w:rPr>
            </w:pPr>
            <w:r w:rsidDel="00000000" w:rsidR="00000000" w:rsidRPr="00000000">
              <w:rPr>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1F">
            <w:pPr>
              <w:jc w:val="right"/>
              <w:rPr>
                <w:sz w:val="24"/>
                <w:szCs w:val="24"/>
              </w:rPr>
            </w:pPr>
            <w:r w:rsidDel="00000000" w:rsidR="00000000" w:rsidRPr="00000000">
              <w:rPr>
                <w:color w:val="000000"/>
                <w:rtl w:val="0"/>
              </w:rPr>
              <w:t xml:space="preserve">25.71</w:t>
            </w:r>
            <w:r w:rsidDel="00000000" w:rsidR="00000000" w:rsidRPr="00000000">
              <w:rPr>
                <w:rtl w:val="0"/>
              </w:rPr>
            </w:r>
          </w:p>
        </w:tc>
      </w:tr>
      <w:tr>
        <w:trPr>
          <w:cantSplit w:val="0"/>
          <w:trHeight w:val="238" w:hRule="atLeast"/>
          <w:tblHeader w:val="0"/>
        </w:trPr>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b w:val="1"/>
                <w:bCs w:val="1"/>
                <w:rtl w:val="0"/>
              </w:rPr>
              <w:t xml:space="preserve">Math 1523 w/co-req</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1">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2">
            <w:pPr>
              <w:jc w:val="right"/>
              <w:rPr>
                <w:sz w:val="24"/>
                <w:szCs w:val="24"/>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23">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4">
            <w:pPr>
              <w:jc w:val="right"/>
              <w:rPr>
                <w:sz w:val="24"/>
                <w:szCs w:val="24"/>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25">
            <w:pPr>
              <w:jc w:val="right"/>
              <w:rPr>
                <w:sz w:val="24"/>
                <w:szCs w:val="24"/>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6">
            <w:pPr>
              <w:jc w:val="right"/>
              <w:rPr>
                <w:sz w:val="24"/>
                <w:szCs w:val="24"/>
              </w:rPr>
            </w:pPr>
            <w:r w:rsidDel="00000000" w:rsidR="00000000" w:rsidRPr="00000000">
              <w:rPr>
                <w:color w:val="000000"/>
                <w:rtl w:val="0"/>
              </w:rPr>
              <w:t xml:space="preserve">50.00</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27">
            <w:pPr>
              <w:jc w:val="right"/>
              <w:rPr>
                <w:sz w:val="24"/>
                <w:szCs w:val="24"/>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8">
            <w:pPr>
              <w:jc w:val="right"/>
              <w:rPr>
                <w:sz w:val="24"/>
                <w:szCs w:val="24"/>
              </w:rPr>
            </w:pPr>
            <w:r w:rsidDel="00000000" w:rsidR="00000000" w:rsidRPr="00000000">
              <w:rPr>
                <w:color w:val="000000"/>
                <w:rtl w:val="0"/>
              </w:rPr>
              <w:t xml:space="preserve">50.00</w:t>
            </w:r>
            <w:r w:rsidDel="00000000" w:rsidR="00000000" w:rsidRPr="00000000">
              <w:rPr>
                <w:rtl w:val="0"/>
              </w:rPr>
            </w:r>
          </w:p>
        </w:tc>
      </w:tr>
      <w:tr>
        <w:trPr>
          <w:cantSplit w:val="0"/>
          <w:trHeight w:val="238" w:hRule="atLeast"/>
          <w:tblHeader w:val="0"/>
        </w:trPr>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129">
            <w:pPr>
              <w:rPr>
                <w:sz w:val="24"/>
                <w:szCs w:val="24"/>
              </w:rPr>
            </w:pPr>
            <w:r w:rsidDel="00000000" w:rsidR="00000000" w:rsidRPr="00000000">
              <w:rPr>
                <w:b w:val="1"/>
                <w:bCs w:val="1"/>
                <w:color w:val="000000"/>
                <w:rtl w:val="0"/>
              </w:rPr>
              <w:t xml:space="preserve">Math 1523 Total</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A">
            <w:pPr>
              <w:rPr>
                <w:sz w:val="24"/>
                <w:szCs w:val="24"/>
              </w:rPr>
            </w:pPr>
            <w:r w:rsidDel="00000000" w:rsidR="00000000" w:rsidRPr="00000000">
              <w:rPr>
                <w:color w:val="000000"/>
                <w:rtl w:val="0"/>
              </w:rPr>
              <w:t xml:space="preserve">Fall 2023</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B">
            <w:pPr>
              <w:jc w:val="right"/>
              <w:rPr>
                <w:sz w:val="24"/>
                <w:szCs w:val="24"/>
              </w:rPr>
            </w:pPr>
            <w:r w:rsidDel="00000000" w:rsidR="00000000" w:rsidRPr="00000000">
              <w:rPr>
                <w:color w:val="000000"/>
                <w:rtl w:val="0"/>
              </w:rPr>
              <w:t xml:space="preserve">105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2C">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D">
            <w:pPr>
              <w:jc w:val="right"/>
              <w:rPr>
                <w:sz w:val="24"/>
                <w:szCs w:val="24"/>
              </w:rPr>
            </w:pPr>
            <w:r w:rsidDel="00000000" w:rsidR="00000000" w:rsidRPr="00000000">
              <w:rPr>
                <w:color w:val="000000"/>
                <w:rtl w:val="0"/>
              </w:rPr>
              <w:t xml:space="preserve">105</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2E">
            <w:pPr>
              <w:jc w:val="right"/>
              <w:rPr>
                <w:sz w:val="24"/>
                <w:szCs w:val="24"/>
              </w:rPr>
            </w:pPr>
            <w:r w:rsidDel="00000000" w:rsidR="00000000" w:rsidRPr="00000000">
              <w:rPr>
                <w:color w:val="000000"/>
                <w:rtl w:val="0"/>
              </w:rPr>
              <w:t xml:space="preserve">81</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2F">
            <w:pPr>
              <w:jc w:val="right"/>
              <w:rPr>
                <w:sz w:val="24"/>
                <w:szCs w:val="24"/>
              </w:rPr>
            </w:pPr>
            <w:r w:rsidDel="00000000" w:rsidR="00000000" w:rsidRPr="00000000">
              <w:rPr>
                <w:color w:val="000000"/>
                <w:rtl w:val="0"/>
              </w:rPr>
              <w:t xml:space="preserve">77.14</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30">
            <w:pPr>
              <w:jc w:val="right"/>
              <w:rPr>
                <w:sz w:val="24"/>
                <w:szCs w:val="24"/>
              </w:rPr>
            </w:pPr>
            <w:r w:rsidDel="00000000" w:rsidR="00000000" w:rsidRPr="00000000">
              <w:rPr>
                <w:color w:val="000000"/>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31">
            <w:pPr>
              <w:jc w:val="right"/>
              <w:rPr>
                <w:sz w:val="24"/>
                <w:szCs w:val="24"/>
              </w:rPr>
            </w:pPr>
            <w:r w:rsidDel="00000000" w:rsidR="00000000" w:rsidRPr="00000000">
              <w:rPr>
                <w:color w:val="000000"/>
                <w:rtl w:val="0"/>
              </w:rPr>
              <w:t xml:space="preserve">22.86</w:t>
            </w:r>
            <w:r w:rsidDel="00000000" w:rsidR="00000000" w:rsidRPr="00000000">
              <w:rPr>
                <w:rtl w:val="0"/>
              </w:rPr>
            </w:r>
          </w:p>
        </w:tc>
      </w:tr>
      <w:tr>
        <w:trPr>
          <w:cantSplit w:val="0"/>
          <w:trHeight w:val="238" w:hRule="atLeast"/>
          <w:tblHeader w:val="0"/>
        </w:trPr>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b w:val="1"/>
                <w:bCs w:val="1"/>
                <w:rtl w:val="0"/>
              </w:rPr>
              <w:t xml:space="preserve">Math 1523 Total</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33">
            <w:pPr>
              <w:rPr>
                <w:sz w:val="24"/>
                <w:szCs w:val="24"/>
              </w:rPr>
            </w:pPr>
            <w:r w:rsidDel="00000000" w:rsidR="00000000" w:rsidRPr="00000000">
              <w:rPr>
                <w:color w:val="000000"/>
                <w:rtl w:val="0"/>
              </w:rPr>
              <w:t xml:space="preserve">Spring 2024</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34">
            <w:pPr>
              <w:jc w:val="right"/>
              <w:rPr>
                <w:sz w:val="24"/>
                <w:szCs w:val="24"/>
              </w:rPr>
            </w:pPr>
            <w:r w:rsidDel="00000000" w:rsidR="00000000" w:rsidRPr="00000000">
              <w:rPr>
                <w:color w:val="000000"/>
                <w:rtl w:val="0"/>
              </w:rPr>
              <w:t xml:space="preserve">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35">
            <w:pPr>
              <w:jc w:val="right"/>
              <w:rPr>
                <w:sz w:val="24"/>
                <w:szCs w:val="24"/>
              </w:rPr>
            </w:pPr>
            <w:r w:rsidDel="00000000" w:rsidR="00000000" w:rsidRPr="00000000">
              <w:rPr>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36">
            <w:pPr>
              <w:jc w:val="right"/>
              <w:rPr>
                <w:sz w:val="24"/>
                <w:szCs w:val="24"/>
              </w:rPr>
            </w:pPr>
            <w:r w:rsidDel="00000000" w:rsidR="00000000" w:rsidRPr="00000000">
              <w:rPr>
                <w:color w:val="000000"/>
                <w:rtl w:val="0"/>
              </w:rPr>
              <w:t xml:space="preserve">62</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37">
            <w:pPr>
              <w:jc w:val="right"/>
              <w:rPr>
                <w:sz w:val="24"/>
                <w:szCs w:val="24"/>
              </w:rPr>
            </w:pPr>
            <w:r w:rsidDel="00000000" w:rsidR="00000000" w:rsidRPr="00000000">
              <w:rPr>
                <w:color w:val="000000"/>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38">
            <w:pPr>
              <w:jc w:val="right"/>
              <w:rPr>
                <w:sz w:val="24"/>
                <w:szCs w:val="24"/>
              </w:rPr>
            </w:pPr>
            <w:r w:rsidDel="00000000" w:rsidR="00000000" w:rsidRPr="00000000">
              <w:rPr>
                <w:color w:val="000000"/>
                <w:rtl w:val="0"/>
              </w:rPr>
              <w:t xml:space="preserve">70.97</w:t>
            </w: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139">
            <w:pPr>
              <w:jc w:val="right"/>
              <w:rPr>
                <w:sz w:val="24"/>
                <w:szCs w:val="24"/>
              </w:rPr>
            </w:pPr>
            <w:r w:rsidDel="00000000" w:rsidR="00000000" w:rsidRPr="00000000">
              <w:rPr>
                <w:color w:val="00000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top w:w="0.0" w:type="dxa"/>
              <w:left w:w="115.0" w:type="dxa"/>
              <w:bottom w:w="0.0" w:type="dxa"/>
              <w:right w:w="115.0" w:type="dxa"/>
            </w:tcMar>
            <w:vAlign w:val="bottom"/>
          </w:tcPr>
          <w:p w:rsidR="00000000" w:rsidDel="00000000" w:rsidP="00000000" w:rsidRDefault="00000000" w:rsidRPr="00000000" w14:paraId="0000013A">
            <w:pPr>
              <w:jc w:val="right"/>
              <w:rPr>
                <w:sz w:val="24"/>
                <w:szCs w:val="24"/>
              </w:rPr>
            </w:pPr>
            <w:r w:rsidDel="00000000" w:rsidR="00000000" w:rsidRPr="00000000">
              <w:rPr>
                <w:color w:val="000000"/>
                <w:rtl w:val="0"/>
              </w:rPr>
              <w:t xml:space="preserve">29.03</w:t>
            </w:r>
            <w:r w:rsidDel="00000000" w:rsidR="00000000" w:rsidRPr="00000000">
              <w:rPr>
                <w:rtl w:val="0"/>
              </w:rPr>
            </w:r>
          </w:p>
        </w:tc>
      </w:tr>
    </w:tbl>
    <w:p w:rsidR="00000000" w:rsidDel="00000000" w:rsidP="00000000" w:rsidRDefault="00000000" w:rsidRPr="00000000" w14:paraId="0000013B">
      <w:pPr>
        <w:spacing w:after="200" w:lineRule="auto"/>
        <w:rPr>
          <w:color w:val="000000"/>
          <w:sz w:val="24"/>
          <w:szCs w:val="24"/>
        </w:rPr>
      </w:pPr>
      <w:r w:rsidDel="00000000" w:rsidR="00000000" w:rsidRPr="00000000">
        <w:rPr>
          <w:b w:val="1"/>
          <w:bCs w:val="1"/>
          <w:color w:val="000000"/>
          <w:sz w:val="24"/>
          <w:szCs w:val="24"/>
          <w:rtl w:val="0"/>
        </w:rPr>
        <w:t xml:space="preserve">*</w:t>
      </w:r>
      <w:r w:rsidDel="00000000" w:rsidR="00000000" w:rsidRPr="00000000">
        <w:rPr>
          <w:i w:val="1"/>
          <w:iCs w:val="1"/>
          <w:color w:val="000000"/>
          <w:sz w:val="24"/>
          <w:szCs w:val="24"/>
          <w:rtl w:val="0"/>
        </w:rPr>
        <w:t xml:space="preserve">Failed includes withdrawals</w:t>
      </w:r>
      <w:r w:rsidDel="00000000" w:rsidR="00000000" w:rsidRPr="00000000">
        <w:rPr>
          <w:rtl w:val="0"/>
        </w:rPr>
      </w:r>
    </w:p>
    <w:p w:rsidR="00000000" w:rsidDel="00000000" w:rsidP="00000000" w:rsidRDefault="00000000" w:rsidRPr="00000000" w14:paraId="0000013C">
      <w:pPr>
        <w:spacing w:after="200" w:lineRule="auto"/>
        <w:rPr>
          <w:sz w:val="24"/>
          <w:szCs w:val="24"/>
        </w:rPr>
      </w:pPr>
      <w:r w:rsidDel="00000000" w:rsidR="00000000" w:rsidRPr="00000000">
        <w:rPr>
          <w:color w:val="000000"/>
          <w:sz w:val="24"/>
          <w:szCs w:val="24"/>
          <w:rtl w:val="0"/>
        </w:rPr>
        <w:t xml:space="preserve">Pass rates for college-level courses without a co-requisite class were as follows (course, Fall 2023, Spring 2024):</w:t>
      </w: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color w:val="000000"/>
          <w:sz w:val="24"/>
          <w:szCs w:val="24"/>
          <w:rtl w:val="0"/>
        </w:rPr>
        <w:t xml:space="preserve">ENGL 1113, English Composition I, 80.84%, 70.83%</w:t>
      </w: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color w:val="000000"/>
          <w:sz w:val="24"/>
          <w:szCs w:val="24"/>
          <w:rtl w:val="0"/>
        </w:rPr>
        <w:t xml:space="preserve">MATH 1313, Elementary Statistics, 77.03%, 86.79%</w:t>
      </w: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color w:val="000000"/>
          <w:sz w:val="24"/>
          <w:szCs w:val="24"/>
          <w:rtl w:val="0"/>
        </w:rPr>
        <w:t xml:space="preserve">MATH 1473, Applied Mathematics, 89.19%, 81.08%</w:t>
      </w:r>
      <w:r w:rsidDel="00000000" w:rsidR="00000000" w:rsidRPr="00000000">
        <w:rPr>
          <w:rtl w:val="0"/>
        </w:rPr>
      </w:r>
    </w:p>
    <w:p w:rsidR="00000000" w:rsidDel="00000000" w:rsidP="00000000" w:rsidRDefault="00000000" w:rsidRPr="00000000" w14:paraId="00000140">
      <w:pPr>
        <w:spacing w:after="200" w:lineRule="auto"/>
        <w:rPr>
          <w:sz w:val="24"/>
          <w:szCs w:val="24"/>
        </w:rPr>
      </w:pPr>
      <w:r w:rsidDel="00000000" w:rsidR="00000000" w:rsidRPr="00000000">
        <w:rPr>
          <w:color w:val="000000"/>
          <w:sz w:val="24"/>
          <w:szCs w:val="24"/>
          <w:rtl w:val="0"/>
        </w:rPr>
        <w:t xml:space="preserve">Math 1523, Functions and Change, 78.57%. 80.95%</w:t>
      </w:r>
      <w:r w:rsidDel="00000000" w:rsidR="00000000" w:rsidRPr="00000000">
        <w:rPr>
          <w:rtl w:val="0"/>
        </w:rPr>
      </w:r>
    </w:p>
    <w:p w:rsidR="00000000" w:rsidDel="00000000" w:rsidP="00000000" w:rsidRDefault="00000000" w:rsidRPr="00000000" w14:paraId="00000141">
      <w:pPr>
        <w:spacing w:after="200" w:lineRule="auto"/>
        <w:rPr>
          <w:sz w:val="24"/>
          <w:szCs w:val="24"/>
        </w:rPr>
      </w:pPr>
      <w:r w:rsidDel="00000000" w:rsidR="00000000" w:rsidRPr="00000000">
        <w:rPr>
          <w:color w:val="000000"/>
          <w:sz w:val="24"/>
          <w:szCs w:val="24"/>
          <w:rtl w:val="0"/>
        </w:rPr>
        <w:t xml:space="preserve">Pass rates for college-level courses with a co-requisite class were as follows (course, Fall 2023, Spring 2024):</w:t>
      </w: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color w:val="000000"/>
          <w:sz w:val="24"/>
          <w:szCs w:val="24"/>
          <w:rtl w:val="0"/>
        </w:rPr>
        <w:t xml:space="preserve">ENGL 1113, English Composition I, 82.35%, 72.22%</w:t>
      </w: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color w:val="000000"/>
          <w:sz w:val="24"/>
          <w:szCs w:val="24"/>
          <w:rtl w:val="0"/>
        </w:rPr>
        <w:t xml:space="preserve">MATH 1313, Elementary Statistics, 70.00%, 76.32%</w:t>
      </w: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color w:val="000000"/>
          <w:sz w:val="24"/>
          <w:szCs w:val="24"/>
          <w:rtl w:val="0"/>
        </w:rPr>
        <w:t xml:space="preserve">MATH 1473, Applied Mathematics, 75.76%, 80.00%</w:t>
      </w:r>
      <w:r w:rsidDel="00000000" w:rsidR="00000000" w:rsidRPr="00000000">
        <w:rPr>
          <w:rtl w:val="0"/>
        </w:rPr>
      </w:r>
    </w:p>
    <w:p w:rsidR="00000000" w:rsidDel="00000000" w:rsidP="00000000" w:rsidRDefault="00000000" w:rsidRPr="00000000" w14:paraId="00000145">
      <w:pPr>
        <w:spacing w:after="200" w:lineRule="auto"/>
        <w:rPr>
          <w:b w:val="1"/>
          <w:bCs w:val="1"/>
          <w:i w:val="1"/>
          <w:iCs w:val="1"/>
          <w:color w:val="000000"/>
          <w:sz w:val="24"/>
          <w:szCs w:val="24"/>
        </w:rPr>
      </w:pPr>
      <w:r w:rsidDel="00000000" w:rsidR="00000000" w:rsidRPr="00000000">
        <w:rPr>
          <w:color w:val="000000"/>
          <w:sz w:val="24"/>
          <w:szCs w:val="24"/>
          <w:rtl w:val="0"/>
        </w:rPr>
        <w:t xml:space="preserve">Math 1523, Functions and Change, 74.29%. 50.00%</w:t>
      </w:r>
      <w:r w:rsidDel="00000000" w:rsidR="00000000" w:rsidRPr="00000000">
        <w:rPr>
          <w:rtl w:val="0"/>
        </w:rPr>
      </w:r>
    </w:p>
    <w:p w:rsidR="00000000" w:rsidDel="00000000" w:rsidP="00000000" w:rsidRDefault="00000000" w:rsidRPr="00000000" w14:paraId="00000146">
      <w:pPr>
        <w:pStyle w:val="Heading4"/>
        <w:spacing w:after="0" w:lineRule="auto"/>
        <w:rPr/>
      </w:pPr>
      <w:bookmarkStart w:colFirst="0" w:colLast="0" w:name="_iyk8zk9o7sp3" w:id="5"/>
      <w:bookmarkEnd w:id="5"/>
      <w:r w:rsidDel="00000000" w:rsidR="00000000" w:rsidRPr="00000000">
        <w:rPr>
          <w:rtl w:val="0"/>
        </w:rPr>
        <w:t xml:space="preserve">Student Progress</w:t>
      </w:r>
    </w:p>
    <w:p w:rsidR="00000000" w:rsidDel="00000000" w:rsidP="00000000" w:rsidRDefault="00000000" w:rsidRPr="00000000" w14:paraId="00000147">
      <w:pPr>
        <w:spacing w:after="200" w:lineRule="auto"/>
        <w:rPr/>
      </w:pPr>
      <w:r w:rsidDel="00000000" w:rsidR="00000000" w:rsidRPr="00000000">
        <w:rPr>
          <w:color w:val="000000"/>
          <w:sz w:val="24"/>
          <w:szCs w:val="24"/>
          <w:rtl w:val="0"/>
        </w:rPr>
        <w:t xml:space="preserve">Northeastern State University will continue to track future students to determine if the success rate in college-level work is equivalent for those students who require a co-requisite class.  Cut scores will be continually reviewed for appropriate placement.  The University Advising Center uses an early alert/retention tracking software,</w:t>
      </w:r>
      <w:r w:rsidDel="00000000" w:rsidR="00000000" w:rsidRPr="00000000">
        <w:rPr>
          <w:sz w:val="24"/>
          <w:szCs w:val="24"/>
          <w:rtl w:val="0"/>
        </w:rPr>
        <w:t xml:space="preserve"> </w:t>
      </w:r>
      <w:r w:rsidDel="00000000" w:rsidR="00000000" w:rsidRPr="00000000">
        <w:rPr>
          <w:i w:val="1"/>
          <w:iCs w:val="1"/>
          <w:color w:val="000000"/>
          <w:sz w:val="24"/>
          <w:szCs w:val="24"/>
          <w:rtl w:val="0"/>
        </w:rPr>
        <w:t xml:space="preserve">Maxient</w:t>
      </w:r>
      <w:r w:rsidDel="00000000" w:rsidR="00000000" w:rsidRPr="00000000">
        <w:rPr>
          <w:color w:val="000000"/>
          <w:sz w:val="24"/>
          <w:szCs w:val="24"/>
          <w:rtl w:val="0"/>
        </w:rPr>
        <w:t xml:space="preserve">, to help monitor student performance across semesters.</w:t>
      </w:r>
      <w:r w:rsidDel="00000000" w:rsidR="00000000" w:rsidRPr="00000000">
        <w:rPr>
          <w:rtl w:val="0"/>
        </w:rPr>
      </w:r>
    </w:p>
    <w:p w:rsidR="00000000" w:rsidDel="00000000" w:rsidP="00000000" w:rsidRDefault="00000000" w:rsidRPr="00000000" w14:paraId="00000148">
      <w:pPr>
        <w:pStyle w:val="Heading3"/>
        <w:spacing w:after="0" w:lineRule="auto"/>
        <w:rPr/>
      </w:pPr>
      <w:bookmarkStart w:colFirst="0" w:colLast="0" w:name="_nap1oamplrcl" w:id="6"/>
      <w:bookmarkEnd w:id="6"/>
      <w:r w:rsidDel="00000000" w:rsidR="00000000" w:rsidRPr="00000000">
        <w:rPr>
          <w:rtl w:val="0"/>
        </w:rPr>
        <w:t xml:space="preserve">I-3 Supplemental Instruction </w:t>
      </w:r>
    </w:p>
    <w:p w:rsidR="00000000" w:rsidDel="00000000" w:rsidP="00000000" w:rsidRDefault="00000000" w:rsidRPr="00000000" w14:paraId="00000149">
      <w:pPr>
        <w:spacing w:after="200" w:lineRule="auto"/>
        <w:rPr/>
      </w:pPr>
      <w:r w:rsidDel="00000000" w:rsidR="00000000" w:rsidRPr="00000000">
        <w:rPr>
          <w:color w:val="000000"/>
          <w:sz w:val="24"/>
          <w:szCs w:val="24"/>
          <w:rtl w:val="0"/>
        </w:rPr>
        <w:t xml:space="preserve">Provide an overview of any supplemental instruction implemented during the 2023-24 academic year. Include data on participation rates, a summary comparison of educational performance between participants and non-participants, and any program modifications based on the findings or experience from implementing the program.</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4A">
      <w:pPr>
        <w:spacing w:after="200" w:lineRule="auto"/>
        <w:rPr>
          <w:color w:val="000000"/>
          <w:sz w:val="24"/>
          <w:szCs w:val="24"/>
        </w:rPr>
      </w:pPr>
      <w:r w:rsidDel="00000000" w:rsidR="00000000" w:rsidRPr="00000000">
        <w:rPr>
          <w:color w:val="000000"/>
          <w:sz w:val="24"/>
          <w:szCs w:val="24"/>
          <w:rtl w:val="0"/>
        </w:rPr>
        <w:t xml:space="preserve">Supplemental Instruction is defined as: An academic assistance program that targets high-risk courses rather than high-risk students, providing regularly scheduled, peer-facilitated review sessions outside of class. This question can include embedded peer support, outside tutoring, or similar support offerings. Do not include official co-requisite course offerings. That is addressed in a separate question.</w:t>
      </w:r>
    </w:p>
    <w:p w:rsidR="00000000" w:rsidDel="00000000" w:rsidP="00000000" w:rsidRDefault="00000000" w:rsidRPr="00000000" w14:paraId="0000014B">
      <w:pPr>
        <w:pStyle w:val="Heading4"/>
        <w:spacing w:after="320" w:lineRule="auto"/>
        <w:rPr/>
      </w:pPr>
      <w:bookmarkStart w:colFirst="0" w:colLast="0" w:name="_kvrdle45i3uy" w:id="7"/>
      <w:bookmarkEnd w:id="7"/>
      <w:r w:rsidDel="00000000" w:rsidR="00000000" w:rsidRPr="00000000">
        <w:rPr>
          <w:rtl w:val="0"/>
        </w:rPr>
        <w:t xml:space="preserve">Institutional Narrative:</w:t>
      </w:r>
    </w:p>
    <w:p w:rsidR="00000000" w:rsidDel="00000000" w:rsidP="00000000" w:rsidRDefault="00000000" w:rsidRPr="00000000" w14:paraId="0000014C">
      <w:pPr>
        <w:pStyle w:val="Heading5"/>
        <w:rPr>
          <w:i w:val="1"/>
          <w:iCs w:val="1"/>
        </w:rPr>
      </w:pPr>
      <w:bookmarkStart w:colFirst="0" w:colLast="0" w:name="_4q336z113i4a" w:id="8"/>
      <w:bookmarkEnd w:id="8"/>
      <w:r w:rsidDel="00000000" w:rsidR="00000000" w:rsidRPr="00000000">
        <w:rPr>
          <w:i w:val="1"/>
          <w:iCs w:val="1"/>
          <w:rtl w:val="0"/>
        </w:rPr>
        <w:t xml:space="preserve">College of Education</w:t>
      </w:r>
    </w:p>
    <w:p w:rsidR="00000000" w:rsidDel="00000000" w:rsidP="00000000" w:rsidRDefault="00000000" w:rsidRPr="00000000" w14:paraId="0000014D">
      <w:pPr>
        <w:spacing w:after="200" w:before="200" w:lineRule="auto"/>
        <w:rPr/>
      </w:pPr>
      <w:r w:rsidDel="00000000" w:rsidR="00000000" w:rsidRPr="00000000">
        <w:rPr>
          <w:rtl w:val="0"/>
        </w:rPr>
        <w:t xml:space="preserve">During the 2023–24 academic year, the College of Education implemented a Supplemental Instruction (SI) program designed to support student success in high-DFW (drop, fail, withdraw) courses within the teacher education curriculum. The initiative aimed to provide peer-facilitated, regularly scheduled academic review sessions in select courses across the Tahlequah and Broken Arrow campuses.</w:t>
      </w:r>
    </w:p>
    <w:p w:rsidR="00000000" w:rsidDel="00000000" w:rsidP="00000000" w:rsidRDefault="00000000" w:rsidRPr="00000000" w14:paraId="0000014E">
      <w:pPr>
        <w:numPr>
          <w:ilvl w:val="0"/>
          <w:numId w:val="5"/>
        </w:numPr>
        <w:ind w:left="720" w:hanging="360"/>
        <w:rPr>
          <w:b w:val="1"/>
          <w:bCs w:val="1"/>
          <w:color w:val="000000"/>
          <w:sz w:val="24"/>
          <w:szCs w:val="24"/>
          <w:u w:val="none"/>
        </w:rPr>
      </w:pPr>
      <w:r w:rsidDel="00000000" w:rsidR="00000000" w:rsidRPr="00000000">
        <w:rPr>
          <w:b w:val="1"/>
          <w:bCs w:val="1"/>
          <w:color w:val="000000"/>
          <w:sz w:val="24"/>
          <w:szCs w:val="24"/>
          <w:rtl w:val="0"/>
        </w:rPr>
        <w:t xml:space="preserve">Courses Supported and Participation Rates</w:t>
      </w:r>
      <w:r w:rsidDel="00000000" w:rsidR="00000000" w:rsidRPr="00000000">
        <w:rPr>
          <w:rtl w:val="0"/>
        </w:rPr>
      </w:r>
    </w:p>
    <w:p w:rsidR="00000000" w:rsidDel="00000000" w:rsidP="00000000" w:rsidRDefault="00000000" w:rsidRPr="00000000" w14:paraId="0000014F">
      <w:pPr>
        <w:ind w:left="720" w:firstLine="0"/>
        <w:rPr>
          <w:b w:val="1"/>
          <w:bCs w:val="1"/>
        </w:rPr>
      </w:pPr>
      <w:r w:rsidDel="00000000" w:rsidR="00000000" w:rsidRPr="00000000">
        <w:rPr>
          <w:color w:val="000000"/>
          <w:sz w:val="24"/>
          <w:szCs w:val="24"/>
          <w:rtl w:val="0"/>
        </w:rPr>
        <w:t xml:space="preserve">Course selection was based on the June 2023 DFW report provided by the Office of Instructional Effectiveness. The College identified courses with historically high DFW rates and recruited student leaders who had earned an A in those courses to serve as Supplemental Instructors.</w:t>
      </w:r>
      <w:r w:rsidDel="00000000" w:rsidR="00000000" w:rsidRPr="00000000">
        <w:rPr>
          <w:rtl w:val="0"/>
        </w:rPr>
      </w:r>
    </w:p>
    <w:p w:rsidR="00000000" w:rsidDel="00000000" w:rsidP="00000000" w:rsidRDefault="00000000" w:rsidRPr="00000000" w14:paraId="00000150">
      <w:pPr>
        <w:spacing w:before="200" w:lineRule="auto"/>
        <w:ind w:left="720" w:firstLine="720"/>
        <w:rPr/>
      </w:pPr>
      <w:r w:rsidDel="00000000" w:rsidR="00000000" w:rsidRPr="00000000">
        <w:rPr>
          <w:b w:val="1"/>
          <w:bCs w:val="1"/>
          <w:color w:val="000000"/>
          <w:sz w:val="24"/>
          <w:szCs w:val="24"/>
          <w:rtl w:val="0"/>
        </w:rPr>
        <w:t xml:space="preserve">Fall 2023:</w:t>
      </w:r>
      <w:r w:rsidDel="00000000" w:rsidR="00000000" w:rsidRPr="00000000">
        <w:rPr>
          <w:rtl w:val="0"/>
        </w:rPr>
      </w:r>
    </w:p>
    <w:p w:rsidR="00000000" w:rsidDel="00000000" w:rsidP="00000000" w:rsidRDefault="00000000" w:rsidRPr="00000000" w14:paraId="00000151">
      <w:pPr>
        <w:ind w:left="1440" w:firstLine="0"/>
        <w:rPr/>
      </w:pPr>
      <w:r w:rsidDel="00000000" w:rsidR="00000000" w:rsidRPr="00000000">
        <w:rPr>
          <w:color w:val="000000"/>
          <w:sz w:val="24"/>
          <w:szCs w:val="24"/>
          <w:rtl w:val="0"/>
        </w:rPr>
        <w:t xml:space="preserve">On the Broken Arrow campus, SI support was implemented for two sections of EDUC 4823 (Technology and the 21st Century Learner), taught by different faculty members—one in-person and one online. On the Tahlequah campus, SI was not offered due to the unavailability of faculty partners willing to integrate the program into their courses. Participation: A total of 18 students attended SI sessions in Broken Arrow. However, attendance levels did not meet expectations despite in-class promotions and multiple recruitment efforts.</w:t>
      </w:r>
      <w:r w:rsidDel="00000000" w:rsidR="00000000" w:rsidRPr="00000000">
        <w:rPr>
          <w:rtl w:val="0"/>
        </w:rPr>
      </w:r>
    </w:p>
    <w:p w:rsidR="00000000" w:rsidDel="00000000" w:rsidP="00000000" w:rsidRDefault="00000000" w:rsidRPr="00000000" w14:paraId="00000152">
      <w:pPr>
        <w:spacing w:before="200" w:lineRule="auto"/>
        <w:ind w:left="1440" w:firstLine="0"/>
        <w:rPr/>
      </w:pPr>
      <w:r w:rsidDel="00000000" w:rsidR="00000000" w:rsidRPr="00000000">
        <w:rPr>
          <w:b w:val="1"/>
          <w:bCs w:val="1"/>
          <w:color w:val="000000"/>
          <w:sz w:val="24"/>
          <w:szCs w:val="24"/>
          <w:rtl w:val="0"/>
        </w:rPr>
        <w:t xml:space="preserve">Spring 2024:</w:t>
      </w:r>
      <w:r w:rsidDel="00000000" w:rsidR="00000000" w:rsidRPr="00000000">
        <w:rPr>
          <w:rtl w:val="0"/>
        </w:rPr>
      </w:r>
    </w:p>
    <w:p w:rsidR="00000000" w:rsidDel="00000000" w:rsidP="00000000" w:rsidRDefault="00000000" w:rsidRPr="00000000" w14:paraId="00000153">
      <w:pPr>
        <w:spacing w:after="200" w:lineRule="auto"/>
        <w:ind w:left="1440" w:firstLine="0"/>
        <w:rPr/>
      </w:pPr>
      <w:r w:rsidDel="00000000" w:rsidR="00000000" w:rsidRPr="00000000">
        <w:rPr>
          <w:color w:val="000000"/>
          <w:sz w:val="24"/>
          <w:szCs w:val="24"/>
          <w:rtl w:val="0"/>
        </w:rPr>
        <w:t xml:space="preserve">In Tahlequah, SI sessions were provided for ENGL 1213 (English Composition II) and ELED 4363 (Number Sense and Operations: Content and Pedagogy). Although ELED 4363 was not identified in the DFW report, the faculty requested support due to observable student difficulty. On the Broken Arrow campus, SI was offered for SPED 4433 (Introduction to the Education of Exceptional Children) and EDUC XXXX (Clinical Internship I), which was being delivered online for the first time. Participation: Only six students participated in Tahlequah sessions, while one student attended SI in Broken Arrow during the spring term.</w:t>
      </w:r>
      <w:r w:rsidDel="00000000" w:rsidR="00000000" w:rsidRPr="00000000">
        <w:rPr>
          <w:rtl w:val="0"/>
        </w:rPr>
      </w:r>
    </w:p>
    <w:p w:rsidR="00000000" w:rsidDel="00000000" w:rsidP="00000000" w:rsidRDefault="00000000" w:rsidRPr="00000000" w14:paraId="00000154">
      <w:pPr>
        <w:numPr>
          <w:ilvl w:val="0"/>
          <w:numId w:val="5"/>
        </w:numPr>
        <w:ind w:left="720" w:hanging="360"/>
        <w:rPr>
          <w:b w:val="1"/>
          <w:bCs w:val="1"/>
          <w:color w:val="000000"/>
          <w:sz w:val="24"/>
          <w:szCs w:val="24"/>
          <w:u w:val="none"/>
        </w:rPr>
      </w:pPr>
      <w:r w:rsidDel="00000000" w:rsidR="00000000" w:rsidRPr="00000000">
        <w:rPr>
          <w:b w:val="1"/>
          <w:bCs w:val="1"/>
          <w:color w:val="000000"/>
          <w:sz w:val="24"/>
          <w:szCs w:val="24"/>
          <w:rtl w:val="0"/>
        </w:rPr>
        <w:t xml:space="preserve">Academic Performance Comparison</w:t>
      </w:r>
      <w:r w:rsidDel="00000000" w:rsidR="00000000" w:rsidRPr="00000000">
        <w:rPr>
          <w:rtl w:val="0"/>
        </w:rPr>
      </w:r>
    </w:p>
    <w:p w:rsidR="00000000" w:rsidDel="00000000" w:rsidP="00000000" w:rsidRDefault="00000000" w:rsidRPr="00000000" w14:paraId="00000155">
      <w:pPr>
        <w:spacing w:after="200" w:lineRule="auto"/>
        <w:ind w:left="720" w:firstLine="0"/>
        <w:rPr/>
      </w:pPr>
      <w:r w:rsidDel="00000000" w:rsidR="00000000" w:rsidRPr="00000000">
        <w:rPr>
          <w:color w:val="000000"/>
          <w:sz w:val="24"/>
          <w:szCs w:val="24"/>
          <w:rtl w:val="0"/>
        </w:rPr>
        <w:t xml:space="preserve">Due to the limited number of participants across both semesters, the College was unable to conduct a meaningful comparison of academic performance between SI participants and non-participants. Sample sizes were too small to produce reliable conclusions regarding grade improvements or course success rates.</w:t>
      </w:r>
      <w:r w:rsidDel="00000000" w:rsidR="00000000" w:rsidRPr="00000000">
        <w:rPr>
          <w:rtl w:val="0"/>
        </w:rPr>
      </w:r>
    </w:p>
    <w:p w:rsidR="00000000" w:rsidDel="00000000" w:rsidP="00000000" w:rsidRDefault="00000000" w:rsidRPr="00000000" w14:paraId="00000156">
      <w:pPr>
        <w:numPr>
          <w:ilvl w:val="0"/>
          <w:numId w:val="5"/>
        </w:numPr>
        <w:ind w:left="720" w:hanging="360"/>
        <w:rPr>
          <w:b w:val="1"/>
          <w:bCs w:val="1"/>
          <w:color w:val="000000"/>
          <w:sz w:val="24"/>
          <w:szCs w:val="24"/>
          <w:u w:val="none"/>
        </w:rPr>
      </w:pPr>
      <w:r w:rsidDel="00000000" w:rsidR="00000000" w:rsidRPr="00000000">
        <w:rPr>
          <w:b w:val="1"/>
          <w:bCs w:val="1"/>
          <w:color w:val="000000"/>
          <w:sz w:val="24"/>
          <w:szCs w:val="24"/>
          <w:rtl w:val="0"/>
        </w:rPr>
        <w:t xml:space="preserve">Challenges and Program Modifications</w:t>
      </w:r>
      <w:r w:rsidDel="00000000" w:rsidR="00000000" w:rsidRPr="00000000">
        <w:rPr>
          <w:rtl w:val="0"/>
        </w:rPr>
      </w:r>
    </w:p>
    <w:p w:rsidR="00000000" w:rsidDel="00000000" w:rsidP="00000000" w:rsidRDefault="00000000" w:rsidRPr="00000000" w14:paraId="00000157">
      <w:pPr>
        <w:ind w:firstLine="720"/>
        <w:rPr/>
      </w:pPr>
      <w:r w:rsidDel="00000000" w:rsidR="00000000" w:rsidRPr="00000000">
        <w:rPr>
          <w:color w:val="000000"/>
          <w:sz w:val="24"/>
          <w:szCs w:val="24"/>
          <w:rtl w:val="0"/>
        </w:rPr>
        <w:t xml:space="preserve">Several challenges emerged throughout the implementation of the program:</w:t>
      </w:r>
      <w:r w:rsidDel="00000000" w:rsidR="00000000" w:rsidRPr="00000000">
        <w:rPr>
          <w:rtl w:val="0"/>
        </w:rPr>
      </w:r>
    </w:p>
    <w:p w:rsidR="00000000" w:rsidDel="00000000" w:rsidP="00000000" w:rsidRDefault="00000000" w:rsidRPr="00000000" w14:paraId="00000158">
      <w:pPr>
        <w:numPr>
          <w:ilvl w:val="1"/>
          <w:numId w:val="5"/>
        </w:numPr>
        <w:ind w:left="1440" w:hanging="360"/>
        <w:rPr>
          <w:b w:val="1"/>
          <w:bCs w:val="1"/>
          <w:color w:val="000000"/>
          <w:sz w:val="24"/>
          <w:szCs w:val="24"/>
          <w:u w:val="none"/>
        </w:rPr>
      </w:pPr>
      <w:r w:rsidDel="00000000" w:rsidR="00000000" w:rsidRPr="00000000">
        <w:rPr>
          <w:color w:val="000000"/>
          <w:sz w:val="24"/>
          <w:szCs w:val="24"/>
          <w:rtl w:val="0"/>
        </w:rPr>
        <w:t xml:space="preserve">Inconsistent student attendance was a significant concern. Even when SI sessions were well-prepared and aligned with course content, students did not consistently participate.</w:t>
      </w:r>
      <w:r w:rsidDel="00000000" w:rsidR="00000000" w:rsidRPr="00000000">
        <w:rPr>
          <w:rtl w:val="0"/>
        </w:rPr>
      </w:r>
    </w:p>
    <w:p w:rsidR="00000000" w:rsidDel="00000000" w:rsidP="00000000" w:rsidRDefault="00000000" w:rsidRPr="00000000" w14:paraId="00000159">
      <w:pPr>
        <w:numPr>
          <w:ilvl w:val="1"/>
          <w:numId w:val="5"/>
        </w:numPr>
        <w:ind w:left="1440" w:hanging="360"/>
        <w:rPr>
          <w:b w:val="1"/>
          <w:bCs w:val="1"/>
          <w:color w:val="000000"/>
          <w:sz w:val="24"/>
          <w:szCs w:val="24"/>
          <w:u w:val="none"/>
        </w:rPr>
      </w:pPr>
      <w:r w:rsidDel="00000000" w:rsidR="00000000" w:rsidRPr="00000000">
        <w:rPr>
          <w:color w:val="000000"/>
          <w:sz w:val="24"/>
          <w:szCs w:val="24"/>
          <w:rtl w:val="0"/>
        </w:rPr>
        <w:t xml:space="preserve">Variability in student needs from semester to semester created difficulties in predicting which courses would benefit most from SI. Courses that previously exhibited high DFW rates sometimes had fewer academic challenges in subsequent semesters.</w:t>
      </w:r>
      <w:r w:rsidDel="00000000" w:rsidR="00000000" w:rsidRPr="00000000">
        <w:rPr>
          <w:rtl w:val="0"/>
        </w:rPr>
      </w:r>
    </w:p>
    <w:p w:rsidR="00000000" w:rsidDel="00000000" w:rsidP="00000000" w:rsidRDefault="00000000" w:rsidRPr="00000000" w14:paraId="0000015A">
      <w:pPr>
        <w:numPr>
          <w:ilvl w:val="1"/>
          <w:numId w:val="5"/>
        </w:numPr>
        <w:ind w:left="1440" w:hanging="360"/>
        <w:rPr>
          <w:b w:val="1"/>
          <w:bCs w:val="1"/>
          <w:color w:val="000000"/>
          <w:sz w:val="24"/>
          <w:szCs w:val="24"/>
          <w:u w:val="none"/>
        </w:rPr>
      </w:pPr>
      <w:r w:rsidDel="00000000" w:rsidR="00000000" w:rsidRPr="00000000">
        <w:rPr>
          <w:color w:val="000000"/>
          <w:sz w:val="24"/>
          <w:szCs w:val="24"/>
          <w:rtl w:val="0"/>
        </w:rPr>
        <w:t xml:space="preserve">Faculty participation proved difficult to secure. Despite efforts to clarify that the SI role was not evaluative or instructional in nature, some instructors expressed discomfort with having student peers embedded in their courses.</w:t>
      </w:r>
      <w:r w:rsidDel="00000000" w:rsidR="00000000" w:rsidRPr="00000000">
        <w:rPr>
          <w:rtl w:val="0"/>
        </w:rPr>
      </w:r>
    </w:p>
    <w:p w:rsidR="00000000" w:rsidDel="00000000" w:rsidP="00000000" w:rsidRDefault="00000000" w:rsidRPr="00000000" w14:paraId="0000015B">
      <w:pPr>
        <w:numPr>
          <w:ilvl w:val="1"/>
          <w:numId w:val="5"/>
        </w:numPr>
        <w:spacing w:after="200" w:before="0" w:lineRule="auto"/>
        <w:ind w:left="1440" w:hanging="360"/>
        <w:rPr>
          <w:b w:val="1"/>
          <w:bCs w:val="1"/>
          <w:color w:val="000000"/>
          <w:sz w:val="24"/>
          <w:szCs w:val="24"/>
          <w:u w:val="none"/>
        </w:rPr>
      </w:pPr>
      <w:r w:rsidDel="00000000" w:rsidR="00000000" w:rsidRPr="00000000">
        <w:rPr>
          <w:color w:val="000000"/>
          <w:sz w:val="24"/>
          <w:szCs w:val="24"/>
          <w:rtl w:val="0"/>
        </w:rPr>
        <w:t xml:space="preserve">Although the College requested updated DFW data in May 2024 to plan for future offerings, these persistent challenges—combined with limited program impact—led to a decision to discontinue the SI/peer mentoring program and reallocate funds to other student success initiatives.</w:t>
      </w:r>
      <w:r w:rsidDel="00000000" w:rsidR="00000000" w:rsidRPr="00000000">
        <w:rPr>
          <w:rtl w:val="0"/>
        </w:rPr>
      </w:r>
    </w:p>
    <w:p w:rsidR="00000000" w:rsidDel="00000000" w:rsidP="00000000" w:rsidRDefault="00000000" w:rsidRPr="00000000" w14:paraId="0000015C">
      <w:pPr>
        <w:numPr>
          <w:ilvl w:val="0"/>
          <w:numId w:val="5"/>
        </w:numPr>
        <w:ind w:left="720" w:hanging="360"/>
        <w:rPr>
          <w:b w:val="1"/>
          <w:bCs w:val="1"/>
          <w:color w:val="000000"/>
          <w:sz w:val="24"/>
          <w:szCs w:val="24"/>
          <w:u w:val="none"/>
        </w:rPr>
      </w:pPr>
      <w:r w:rsidDel="00000000" w:rsidR="00000000" w:rsidRPr="00000000">
        <w:rPr>
          <w:b w:val="1"/>
          <w:bCs w:val="1"/>
          <w:color w:val="000000"/>
          <w:sz w:val="24"/>
          <w:szCs w:val="24"/>
          <w:rtl w:val="0"/>
        </w:rPr>
        <w:t xml:space="preserve">Program Development and Training Resources</w:t>
      </w:r>
      <w:r w:rsidDel="00000000" w:rsidR="00000000" w:rsidRPr="00000000">
        <w:rPr>
          <w:rtl w:val="0"/>
        </w:rPr>
      </w:r>
    </w:p>
    <w:p w:rsidR="00000000" w:rsidDel="00000000" w:rsidP="00000000" w:rsidRDefault="00000000" w:rsidRPr="00000000" w14:paraId="0000015D">
      <w:pPr>
        <w:spacing w:after="200" w:lineRule="auto"/>
        <w:ind w:left="720" w:firstLine="0"/>
        <w:rPr>
          <w:sz w:val="24"/>
          <w:szCs w:val="24"/>
        </w:rPr>
      </w:pPr>
      <w:r w:rsidDel="00000000" w:rsidR="00000000" w:rsidRPr="00000000">
        <w:rPr>
          <w:color w:val="000000"/>
          <w:sz w:val="24"/>
          <w:szCs w:val="24"/>
          <w:rtl w:val="0"/>
        </w:rPr>
        <w:t xml:space="preserve">To support program development, College staff attended a two-day virtual training hosted by the University of Missouri–Kansas City (UMKC) in September 2023. This training included access to the UMKC Supplemental Instruction manual, video modules, lesson planning tools, and implementation strategies. Based on this material, the College developed a customized PowerPoint training presentation for student workers and distributed printed copies of the manual to all SI leaders as a reference. All student workers participated in formal training before their assignment each semester.</w:t>
      </w:r>
      <w:r w:rsidDel="00000000" w:rsidR="00000000" w:rsidRPr="00000000">
        <w:rPr>
          <w:rtl w:val="0"/>
        </w:rPr>
      </w:r>
    </w:p>
    <w:p w:rsidR="00000000" w:rsidDel="00000000" w:rsidP="00000000" w:rsidRDefault="00000000" w:rsidRPr="00000000" w14:paraId="0000015E">
      <w:pPr>
        <w:pStyle w:val="Heading5"/>
        <w:spacing w:after="200" w:lineRule="auto"/>
        <w:rPr>
          <w:i w:val="1"/>
          <w:iCs w:val="1"/>
        </w:rPr>
      </w:pPr>
      <w:bookmarkStart w:colFirst="0" w:colLast="0" w:name="_v3fq4mhmgacs" w:id="9"/>
      <w:bookmarkEnd w:id="9"/>
      <w:r w:rsidDel="00000000" w:rsidR="00000000" w:rsidRPr="00000000">
        <w:rPr>
          <w:i w:val="1"/>
          <w:iCs w:val="1"/>
          <w:rtl w:val="0"/>
        </w:rPr>
        <w:t xml:space="preserve">Gregg Wadley College of Science and Health Professions</w:t>
      </w:r>
    </w:p>
    <w:p w:rsidR="00000000" w:rsidDel="00000000" w:rsidP="00000000" w:rsidRDefault="00000000" w:rsidRPr="00000000" w14:paraId="0000015F">
      <w:pPr>
        <w:numPr>
          <w:ilvl w:val="0"/>
          <w:numId w:val="7"/>
        </w:numPr>
        <w:ind w:left="720" w:hanging="360"/>
        <w:rPr>
          <w:b w:val="1"/>
          <w:bCs w:val="1"/>
          <w:color w:val="000000"/>
          <w:sz w:val="24"/>
          <w:szCs w:val="24"/>
          <w:u w:val="none"/>
        </w:rPr>
      </w:pPr>
      <w:r w:rsidDel="00000000" w:rsidR="00000000" w:rsidRPr="00000000">
        <w:rPr>
          <w:b w:val="1"/>
          <w:bCs w:val="1"/>
          <w:color w:val="000000"/>
          <w:sz w:val="24"/>
          <w:szCs w:val="24"/>
          <w:rtl w:val="0"/>
        </w:rPr>
        <w:t xml:space="preserve">Program Description</w:t>
      </w:r>
      <w:r w:rsidDel="00000000" w:rsidR="00000000" w:rsidRPr="00000000">
        <w:rPr>
          <w:rtl w:val="0"/>
        </w:rPr>
      </w:r>
    </w:p>
    <w:p w:rsidR="00000000" w:rsidDel="00000000" w:rsidP="00000000" w:rsidRDefault="00000000" w:rsidRPr="00000000" w14:paraId="00000160">
      <w:pPr>
        <w:spacing w:after="200" w:lineRule="auto"/>
        <w:ind w:left="720" w:firstLine="0"/>
        <w:rPr/>
      </w:pPr>
      <w:r w:rsidDel="00000000" w:rsidR="00000000" w:rsidRPr="00000000">
        <w:rPr>
          <w:color w:val="000000"/>
          <w:sz w:val="24"/>
          <w:szCs w:val="24"/>
          <w:rtl w:val="0"/>
        </w:rPr>
        <w:t xml:space="preserve">Supplemental Instruction (SI) was implemented as a peer-facilitated academic support initiative focused on high-risk, high-enrollment science courses. SI sessions were held regularly outside of class, emphasizing collaborative learning, critical thinking, and study strategies tailored to historically challenging course material. SI leaders were students who had previously excelled in the targeted courses and were trained to lead structured review sessions.</w:t>
      </w:r>
      <w:r w:rsidDel="00000000" w:rsidR="00000000" w:rsidRPr="00000000">
        <w:rPr>
          <w:rtl w:val="0"/>
        </w:rPr>
      </w:r>
    </w:p>
    <w:p w:rsidR="00000000" w:rsidDel="00000000" w:rsidP="00000000" w:rsidRDefault="00000000" w:rsidRPr="00000000" w14:paraId="00000161">
      <w:pPr>
        <w:spacing w:after="200" w:lineRule="auto"/>
        <w:ind w:left="720" w:firstLine="0"/>
        <w:rPr/>
      </w:pPr>
      <w:r w:rsidDel="00000000" w:rsidR="00000000" w:rsidRPr="00000000">
        <w:rPr>
          <w:color w:val="000000"/>
          <w:sz w:val="24"/>
          <w:szCs w:val="24"/>
          <w:rtl w:val="0"/>
        </w:rPr>
        <w:t xml:space="preserve">Originally designed to support introductory chemistry and biology courses, the program has expanded to include more advanced courses such as Organic Chemistry I and II, Human Anatomy, and, most recently, Biochemistry, based on student feedback and academic difficulty trends. Although SI sessions did not focus on direct homework help, a program modification was implemented to allow SI leaders to hold office hours for that purpose.</w:t>
      </w:r>
      <w:r w:rsidDel="00000000" w:rsidR="00000000" w:rsidRPr="00000000">
        <w:rPr>
          <w:rtl w:val="0"/>
        </w:rPr>
      </w:r>
    </w:p>
    <w:p w:rsidR="00000000" w:rsidDel="00000000" w:rsidP="00000000" w:rsidRDefault="00000000" w:rsidRPr="00000000" w14:paraId="00000162">
      <w:pPr>
        <w:spacing w:after="200" w:lineRule="auto"/>
        <w:ind w:left="720" w:firstLine="0"/>
        <w:rPr/>
      </w:pPr>
      <w:r w:rsidDel="00000000" w:rsidR="00000000" w:rsidRPr="00000000">
        <w:rPr>
          <w:color w:val="000000"/>
          <w:sz w:val="24"/>
          <w:szCs w:val="24"/>
          <w:rtl w:val="0"/>
        </w:rPr>
        <w:t xml:space="preserve">In addition to supporting enrolled students, the program also provided professional development benefits for SI leaders, including deeper content mastery and preparation for graduate admissions exams. One leader noted, “SI has been so good to me. I learned Gen. Chem. 2 on a whole new level and helped so many others through it. I wouldn't be the student and person that I am if not for SI.”</w:t>
      </w:r>
      <w:r w:rsidDel="00000000" w:rsidR="00000000" w:rsidRPr="00000000">
        <w:rPr>
          <w:rtl w:val="0"/>
        </w:rPr>
      </w:r>
    </w:p>
    <w:p w:rsidR="00000000" w:rsidDel="00000000" w:rsidP="00000000" w:rsidRDefault="00000000" w:rsidRPr="00000000" w14:paraId="00000163">
      <w:pPr>
        <w:numPr>
          <w:ilvl w:val="0"/>
          <w:numId w:val="7"/>
        </w:numPr>
        <w:ind w:left="720" w:hanging="360"/>
        <w:rPr>
          <w:b w:val="1"/>
          <w:bCs w:val="1"/>
          <w:color w:val="000000"/>
          <w:sz w:val="24"/>
          <w:szCs w:val="24"/>
          <w:u w:val="none"/>
        </w:rPr>
      </w:pPr>
      <w:r w:rsidDel="00000000" w:rsidR="00000000" w:rsidRPr="00000000">
        <w:rPr>
          <w:b w:val="1"/>
          <w:bCs w:val="1"/>
          <w:color w:val="000000"/>
          <w:sz w:val="24"/>
          <w:szCs w:val="24"/>
          <w:rtl w:val="0"/>
        </w:rPr>
        <w:t xml:space="preserve">Participation Data</w:t>
      </w:r>
      <w:r w:rsidDel="00000000" w:rsidR="00000000" w:rsidRPr="00000000">
        <w:rPr>
          <w:rtl w:val="0"/>
        </w:rPr>
      </w:r>
    </w:p>
    <w:p w:rsidR="00000000" w:rsidDel="00000000" w:rsidP="00000000" w:rsidRDefault="00000000" w:rsidRPr="00000000" w14:paraId="00000164">
      <w:pPr>
        <w:ind w:left="720" w:firstLine="0"/>
        <w:rPr/>
      </w:pPr>
      <w:r w:rsidDel="00000000" w:rsidR="00000000" w:rsidRPr="00000000">
        <w:rPr>
          <w:color w:val="000000"/>
          <w:sz w:val="24"/>
          <w:szCs w:val="24"/>
          <w:rtl w:val="0"/>
        </w:rPr>
        <w:t xml:space="preserve">Participation varied by course and semester.</w:t>
      </w:r>
      <w:r w:rsidDel="00000000" w:rsidR="00000000" w:rsidRPr="00000000">
        <w:rPr>
          <w:rtl w:val="0"/>
        </w:rPr>
      </w:r>
    </w:p>
    <w:p w:rsidR="00000000" w:rsidDel="00000000" w:rsidP="00000000" w:rsidRDefault="00000000" w:rsidRPr="00000000" w14:paraId="00000165">
      <w:pPr>
        <w:ind w:left="720" w:firstLine="0"/>
        <w:rPr>
          <w:color w:val="000000"/>
          <w:sz w:val="24"/>
          <w:szCs w:val="24"/>
        </w:rPr>
      </w:pPr>
      <w:r w:rsidDel="00000000" w:rsidR="00000000" w:rsidRPr="00000000">
        <w:rPr>
          <w:color w:val="000000"/>
          <w:sz w:val="24"/>
          <w:szCs w:val="24"/>
          <w:rtl w:val="0"/>
        </w:rPr>
        <w:t xml:space="preserve">Participation was tracked through attendance logs and surveys collected by SI leaders. </w:t>
      </w:r>
    </w:p>
    <w:p w:rsidR="00000000" w:rsidDel="00000000" w:rsidP="00000000" w:rsidRDefault="00000000" w:rsidRPr="00000000" w14:paraId="00000166">
      <w:pPr>
        <w:spacing w:after="200" w:lineRule="auto"/>
        <w:ind w:left="720" w:firstLine="0"/>
        <w:rPr/>
      </w:pPr>
      <w:r w:rsidDel="00000000" w:rsidR="00000000" w:rsidRPr="00000000">
        <w:rPr>
          <w:color w:val="000000"/>
          <w:sz w:val="24"/>
          <w:szCs w:val="24"/>
          <w:rtl w:val="0"/>
        </w:rPr>
        <w:t xml:space="preserve">However, some courses lacked complete attendance or performance data due to inconsistent reporting. Across the 2023–24 academic year, SI was implemented in the following courses:</w:t>
      </w:r>
      <w:r w:rsidDel="00000000" w:rsidR="00000000" w:rsidRPr="00000000">
        <w:rPr>
          <w:rtl w:val="0"/>
        </w:rPr>
      </w:r>
    </w:p>
    <w:p w:rsidR="00000000" w:rsidDel="00000000" w:rsidP="00000000" w:rsidRDefault="00000000" w:rsidRPr="00000000" w14:paraId="00000167">
      <w:pPr>
        <w:ind w:left="720" w:firstLine="720"/>
        <w:rPr/>
      </w:pPr>
      <w:r w:rsidDel="00000000" w:rsidR="00000000" w:rsidRPr="00000000">
        <w:rPr>
          <w:b w:val="1"/>
          <w:bCs w:val="1"/>
          <w:color w:val="000000"/>
          <w:sz w:val="24"/>
          <w:szCs w:val="24"/>
          <w:rtl w:val="0"/>
        </w:rPr>
        <w:t xml:space="preserve">Fall 2023:</w:t>
      </w:r>
      <w:r w:rsidDel="00000000" w:rsidR="00000000" w:rsidRPr="00000000">
        <w:rPr>
          <w:rtl w:val="0"/>
        </w:rPr>
      </w:r>
    </w:p>
    <w:p w:rsidR="00000000" w:rsidDel="00000000" w:rsidP="00000000" w:rsidRDefault="00000000" w:rsidRPr="00000000" w14:paraId="00000168">
      <w:pPr>
        <w:numPr>
          <w:ilvl w:val="0"/>
          <w:numId w:val="16"/>
        </w:numPr>
        <w:ind w:left="2160" w:hanging="360"/>
        <w:rPr>
          <w:color w:val="000000"/>
          <w:sz w:val="24"/>
          <w:szCs w:val="24"/>
          <w:u w:val="none"/>
        </w:rPr>
      </w:pPr>
      <w:r w:rsidDel="00000000" w:rsidR="00000000" w:rsidRPr="00000000">
        <w:rPr>
          <w:color w:val="000000"/>
          <w:sz w:val="24"/>
          <w:szCs w:val="24"/>
          <w:rtl w:val="0"/>
        </w:rPr>
        <w:t xml:space="preserve">General Chemistry I (N = 33): Majority participated in SI; performance data available</w:t>
      </w:r>
      <w:r w:rsidDel="00000000" w:rsidR="00000000" w:rsidRPr="00000000">
        <w:rPr>
          <w:rtl w:val="0"/>
        </w:rPr>
      </w:r>
    </w:p>
    <w:p w:rsidR="00000000" w:rsidDel="00000000" w:rsidP="00000000" w:rsidRDefault="00000000" w:rsidRPr="00000000" w14:paraId="00000169">
      <w:pPr>
        <w:numPr>
          <w:ilvl w:val="0"/>
          <w:numId w:val="16"/>
        </w:numPr>
        <w:ind w:left="2160" w:hanging="360"/>
        <w:rPr>
          <w:color w:val="000000"/>
          <w:sz w:val="24"/>
          <w:szCs w:val="24"/>
          <w:u w:val="none"/>
        </w:rPr>
      </w:pPr>
      <w:r w:rsidDel="00000000" w:rsidR="00000000" w:rsidRPr="00000000">
        <w:rPr>
          <w:color w:val="000000"/>
          <w:sz w:val="24"/>
          <w:szCs w:val="24"/>
          <w:rtl w:val="0"/>
        </w:rPr>
        <w:t xml:space="preserve">General Chemistry II (N = 41): Moderate SI participation</w:t>
      </w:r>
      <w:r w:rsidDel="00000000" w:rsidR="00000000" w:rsidRPr="00000000">
        <w:rPr>
          <w:rtl w:val="0"/>
        </w:rPr>
      </w:r>
    </w:p>
    <w:p w:rsidR="00000000" w:rsidDel="00000000" w:rsidP="00000000" w:rsidRDefault="00000000" w:rsidRPr="00000000" w14:paraId="0000016A">
      <w:pPr>
        <w:numPr>
          <w:ilvl w:val="0"/>
          <w:numId w:val="16"/>
        </w:numPr>
        <w:ind w:left="2160" w:hanging="360"/>
        <w:rPr>
          <w:color w:val="000000"/>
          <w:sz w:val="24"/>
          <w:szCs w:val="24"/>
          <w:u w:val="none"/>
        </w:rPr>
      </w:pPr>
      <w:r w:rsidDel="00000000" w:rsidR="00000000" w:rsidRPr="00000000">
        <w:rPr>
          <w:color w:val="000000"/>
          <w:sz w:val="24"/>
          <w:szCs w:val="24"/>
          <w:rtl w:val="0"/>
        </w:rPr>
        <w:t xml:space="preserve">Introductory Biology II (N = 32): Modest SI attendance</w:t>
      </w:r>
      <w:r w:rsidDel="00000000" w:rsidR="00000000" w:rsidRPr="00000000">
        <w:rPr>
          <w:rtl w:val="0"/>
        </w:rPr>
      </w:r>
    </w:p>
    <w:p w:rsidR="00000000" w:rsidDel="00000000" w:rsidP="00000000" w:rsidRDefault="00000000" w:rsidRPr="00000000" w14:paraId="0000016B">
      <w:pPr>
        <w:numPr>
          <w:ilvl w:val="0"/>
          <w:numId w:val="16"/>
        </w:numPr>
        <w:ind w:left="2160" w:hanging="360"/>
        <w:rPr>
          <w:color w:val="000000"/>
          <w:sz w:val="24"/>
          <w:szCs w:val="24"/>
          <w:u w:val="none"/>
        </w:rPr>
      </w:pPr>
      <w:r w:rsidDel="00000000" w:rsidR="00000000" w:rsidRPr="00000000">
        <w:rPr>
          <w:color w:val="000000"/>
          <w:sz w:val="24"/>
          <w:szCs w:val="24"/>
          <w:rtl w:val="0"/>
        </w:rPr>
        <w:t xml:space="preserve">Organic Chemistry I (N = 44): Limited SI and partial SI attendance</w:t>
      </w:r>
      <w:r w:rsidDel="00000000" w:rsidR="00000000" w:rsidRPr="00000000">
        <w:rPr>
          <w:rtl w:val="0"/>
        </w:rPr>
      </w:r>
    </w:p>
    <w:p w:rsidR="00000000" w:rsidDel="00000000" w:rsidP="00000000" w:rsidRDefault="00000000" w:rsidRPr="00000000" w14:paraId="0000016C">
      <w:pPr>
        <w:ind w:left="720" w:firstLine="720"/>
        <w:rPr/>
      </w:pPr>
      <w:r w:rsidDel="00000000" w:rsidR="00000000" w:rsidRPr="00000000">
        <w:rPr>
          <w:b w:val="1"/>
          <w:bCs w:val="1"/>
          <w:color w:val="000000"/>
          <w:sz w:val="24"/>
          <w:szCs w:val="24"/>
          <w:rtl w:val="0"/>
        </w:rPr>
        <w:t xml:space="preserve">Spring 2024:</w:t>
      </w:r>
      <w:r w:rsidDel="00000000" w:rsidR="00000000" w:rsidRPr="00000000">
        <w:rPr>
          <w:rtl w:val="0"/>
        </w:rPr>
      </w:r>
    </w:p>
    <w:p w:rsidR="00000000" w:rsidDel="00000000" w:rsidP="00000000" w:rsidRDefault="00000000" w:rsidRPr="00000000" w14:paraId="0000016D">
      <w:pPr>
        <w:numPr>
          <w:ilvl w:val="0"/>
          <w:numId w:val="18"/>
        </w:numPr>
        <w:ind w:left="2160" w:hanging="360"/>
        <w:rPr>
          <w:color w:val="000000"/>
          <w:sz w:val="24"/>
          <w:szCs w:val="24"/>
          <w:u w:val="none"/>
        </w:rPr>
      </w:pPr>
      <w:r w:rsidDel="00000000" w:rsidR="00000000" w:rsidRPr="00000000">
        <w:rPr>
          <w:color w:val="000000"/>
          <w:sz w:val="24"/>
          <w:szCs w:val="24"/>
          <w:rtl w:val="0"/>
        </w:rPr>
        <w:t xml:space="preserve">General Chemistry I (N = 80): SI attendance improved from fall</w:t>
      </w:r>
      <w:r w:rsidDel="00000000" w:rsidR="00000000" w:rsidRPr="00000000">
        <w:rPr>
          <w:rtl w:val="0"/>
        </w:rPr>
      </w:r>
    </w:p>
    <w:p w:rsidR="00000000" w:rsidDel="00000000" w:rsidP="00000000" w:rsidRDefault="00000000" w:rsidRPr="00000000" w14:paraId="0000016E">
      <w:pPr>
        <w:numPr>
          <w:ilvl w:val="0"/>
          <w:numId w:val="18"/>
        </w:numPr>
        <w:ind w:left="2160" w:hanging="360"/>
        <w:rPr>
          <w:color w:val="000000"/>
          <w:sz w:val="24"/>
          <w:szCs w:val="24"/>
          <w:u w:val="none"/>
        </w:rPr>
      </w:pPr>
      <w:r w:rsidDel="00000000" w:rsidR="00000000" w:rsidRPr="00000000">
        <w:rPr>
          <w:color w:val="000000"/>
          <w:sz w:val="24"/>
          <w:szCs w:val="24"/>
          <w:rtl w:val="0"/>
        </w:rPr>
        <w:t xml:space="preserve">General Chemistry II (N = 31): Stronger SI participation</w:t>
      </w:r>
      <w:r w:rsidDel="00000000" w:rsidR="00000000" w:rsidRPr="00000000">
        <w:rPr>
          <w:rtl w:val="0"/>
        </w:rPr>
      </w:r>
    </w:p>
    <w:p w:rsidR="00000000" w:rsidDel="00000000" w:rsidP="00000000" w:rsidRDefault="00000000" w:rsidRPr="00000000" w14:paraId="0000016F">
      <w:pPr>
        <w:numPr>
          <w:ilvl w:val="0"/>
          <w:numId w:val="18"/>
        </w:numPr>
        <w:spacing w:after="200" w:before="0" w:lineRule="auto"/>
        <w:ind w:left="2160" w:hanging="360"/>
        <w:rPr>
          <w:color w:val="000000"/>
          <w:sz w:val="24"/>
          <w:szCs w:val="24"/>
          <w:u w:val="none"/>
        </w:rPr>
      </w:pPr>
      <w:r w:rsidDel="00000000" w:rsidR="00000000" w:rsidRPr="00000000">
        <w:rPr>
          <w:color w:val="000000"/>
          <w:sz w:val="24"/>
          <w:szCs w:val="24"/>
          <w:rtl w:val="0"/>
        </w:rPr>
        <w:t xml:space="preserve">Organic Chemistry II (N = 27): Mixed attendance, including partial SI involvement</w:t>
      </w:r>
      <w:r w:rsidDel="00000000" w:rsidR="00000000" w:rsidRPr="00000000">
        <w:rPr>
          <w:rtl w:val="0"/>
        </w:rPr>
      </w:r>
    </w:p>
    <w:p w:rsidR="00000000" w:rsidDel="00000000" w:rsidP="00000000" w:rsidRDefault="00000000" w:rsidRPr="00000000" w14:paraId="00000170">
      <w:pPr>
        <w:numPr>
          <w:ilvl w:val="0"/>
          <w:numId w:val="7"/>
        </w:numPr>
        <w:ind w:left="720" w:hanging="360"/>
        <w:rPr>
          <w:b w:val="1"/>
          <w:bCs w:val="1"/>
          <w:color w:val="000000"/>
          <w:sz w:val="24"/>
          <w:szCs w:val="24"/>
          <w:u w:val="none"/>
        </w:rPr>
      </w:pPr>
      <w:r w:rsidDel="00000000" w:rsidR="00000000" w:rsidRPr="00000000">
        <w:rPr>
          <w:b w:val="1"/>
          <w:bCs w:val="1"/>
          <w:color w:val="000000"/>
          <w:sz w:val="24"/>
          <w:szCs w:val="24"/>
          <w:rtl w:val="0"/>
        </w:rPr>
        <w:t xml:space="preserve">Academic Performance Compariso</w:t>
      </w:r>
      <w:r w:rsidDel="00000000" w:rsidR="00000000" w:rsidRPr="00000000">
        <w:rPr>
          <w:b w:val="1"/>
          <w:bCs w:val="1"/>
          <w:rtl w:val="0"/>
        </w:rPr>
        <w:t xml:space="preserve">n</w:t>
      </w:r>
    </w:p>
    <w:p w:rsidR="00000000" w:rsidDel="00000000" w:rsidP="00000000" w:rsidRDefault="00000000" w:rsidRPr="00000000" w14:paraId="00000171">
      <w:pPr>
        <w:ind w:left="720" w:firstLine="0"/>
        <w:rPr/>
      </w:pPr>
      <w:r w:rsidDel="00000000" w:rsidR="00000000" w:rsidRPr="00000000">
        <w:rPr>
          <w:color w:val="000000"/>
          <w:sz w:val="24"/>
          <w:szCs w:val="24"/>
          <w:rtl w:val="0"/>
        </w:rPr>
        <w:t xml:space="preserve">Across most courses and semesters, students who attended SI sessions showed gains in exam performance compared to those who did not. While results varied due to attendance and small sample sizes, several courses demonstrated measurable improvement:</w:t>
      </w:r>
      <w:r w:rsidDel="00000000" w:rsidR="00000000" w:rsidRPr="00000000">
        <w:rPr>
          <w:rtl w:val="0"/>
        </w:rPr>
      </w:r>
    </w:p>
    <w:p w:rsidR="00000000" w:rsidDel="00000000" w:rsidP="00000000" w:rsidRDefault="00000000" w:rsidRPr="00000000" w14:paraId="00000172">
      <w:pPr>
        <w:numPr>
          <w:ilvl w:val="0"/>
          <w:numId w:val="19"/>
        </w:numPr>
        <w:ind w:left="1440" w:hanging="360"/>
        <w:rPr>
          <w:color w:val="000000"/>
          <w:sz w:val="24"/>
          <w:szCs w:val="24"/>
          <w:u w:val="none"/>
        </w:rPr>
      </w:pPr>
      <w:r w:rsidDel="00000000" w:rsidR="00000000" w:rsidRPr="00000000">
        <w:rPr>
          <w:color w:val="000000"/>
          <w:sz w:val="24"/>
          <w:szCs w:val="24"/>
          <w:rtl w:val="0"/>
        </w:rPr>
        <w:t xml:space="preserve">General Chemistry I (Fall 2023): SI attendees outperformed peers by an average of 24 percentage points. One high-performing student skewed this but still indicated a positive impact.</w:t>
      </w:r>
      <w:r w:rsidDel="00000000" w:rsidR="00000000" w:rsidRPr="00000000">
        <w:rPr>
          <w:rtl w:val="0"/>
        </w:rPr>
      </w:r>
    </w:p>
    <w:p w:rsidR="00000000" w:rsidDel="00000000" w:rsidP="00000000" w:rsidRDefault="00000000" w:rsidRPr="00000000" w14:paraId="00000173">
      <w:pPr>
        <w:numPr>
          <w:ilvl w:val="0"/>
          <w:numId w:val="19"/>
        </w:numPr>
        <w:ind w:left="1440" w:hanging="360"/>
        <w:rPr>
          <w:color w:val="000000"/>
          <w:sz w:val="24"/>
          <w:szCs w:val="24"/>
          <w:u w:val="none"/>
        </w:rPr>
      </w:pPr>
      <w:r w:rsidDel="00000000" w:rsidR="00000000" w:rsidRPr="00000000">
        <w:rPr>
          <w:color w:val="000000"/>
          <w:sz w:val="24"/>
          <w:szCs w:val="24"/>
          <w:rtl w:val="0"/>
        </w:rPr>
        <w:t xml:space="preserve">General Chemistry II (Fall 2023): Modest improvement of 1 percentage point, with outliers affecting the average.</w:t>
      </w:r>
      <w:r w:rsidDel="00000000" w:rsidR="00000000" w:rsidRPr="00000000">
        <w:rPr>
          <w:rtl w:val="0"/>
        </w:rPr>
      </w:r>
    </w:p>
    <w:p w:rsidR="00000000" w:rsidDel="00000000" w:rsidP="00000000" w:rsidRDefault="00000000" w:rsidRPr="00000000" w14:paraId="00000174">
      <w:pPr>
        <w:numPr>
          <w:ilvl w:val="0"/>
          <w:numId w:val="19"/>
        </w:numPr>
        <w:ind w:left="1440" w:hanging="360"/>
        <w:rPr>
          <w:color w:val="000000"/>
          <w:sz w:val="24"/>
          <w:szCs w:val="24"/>
          <w:u w:val="none"/>
        </w:rPr>
      </w:pPr>
      <w:r w:rsidDel="00000000" w:rsidR="00000000" w:rsidRPr="00000000">
        <w:rPr>
          <w:color w:val="000000"/>
          <w:sz w:val="24"/>
          <w:szCs w:val="24"/>
          <w:rtl w:val="0"/>
        </w:rPr>
        <w:t xml:space="preserve">Introductory Biology II (Fall 2023): SI attendees showed an average increase of 21.5 points.</w:t>
      </w:r>
      <w:r w:rsidDel="00000000" w:rsidR="00000000" w:rsidRPr="00000000">
        <w:rPr>
          <w:rtl w:val="0"/>
        </w:rPr>
      </w:r>
    </w:p>
    <w:p w:rsidR="00000000" w:rsidDel="00000000" w:rsidP="00000000" w:rsidRDefault="00000000" w:rsidRPr="00000000" w14:paraId="00000175">
      <w:pPr>
        <w:numPr>
          <w:ilvl w:val="0"/>
          <w:numId w:val="19"/>
        </w:numPr>
        <w:ind w:left="1440" w:hanging="360"/>
        <w:rPr>
          <w:color w:val="000000"/>
          <w:sz w:val="24"/>
          <w:szCs w:val="24"/>
          <w:u w:val="none"/>
        </w:rPr>
      </w:pPr>
      <w:r w:rsidDel="00000000" w:rsidR="00000000" w:rsidRPr="00000000">
        <w:rPr>
          <w:color w:val="000000"/>
          <w:sz w:val="24"/>
          <w:szCs w:val="24"/>
          <w:rtl w:val="0"/>
        </w:rPr>
        <w:t xml:space="preserve">Organic Chemistry I (Fall 2023): Average gain of 10 points for SI participants.</w:t>
      </w:r>
      <w:r w:rsidDel="00000000" w:rsidR="00000000" w:rsidRPr="00000000">
        <w:rPr>
          <w:rtl w:val="0"/>
        </w:rPr>
      </w:r>
    </w:p>
    <w:p w:rsidR="00000000" w:rsidDel="00000000" w:rsidP="00000000" w:rsidRDefault="00000000" w:rsidRPr="00000000" w14:paraId="00000176">
      <w:pPr>
        <w:numPr>
          <w:ilvl w:val="0"/>
          <w:numId w:val="19"/>
        </w:numPr>
        <w:ind w:left="1440" w:hanging="360"/>
        <w:rPr>
          <w:color w:val="000000"/>
          <w:sz w:val="24"/>
          <w:szCs w:val="24"/>
          <w:u w:val="none"/>
        </w:rPr>
      </w:pPr>
      <w:r w:rsidDel="00000000" w:rsidR="00000000" w:rsidRPr="00000000">
        <w:rPr>
          <w:color w:val="000000"/>
          <w:sz w:val="24"/>
          <w:szCs w:val="24"/>
          <w:rtl w:val="0"/>
        </w:rPr>
        <w:t xml:space="preserve">General Chemistry I (Spring 2024): Students attending SI improved by 8 points on average.</w:t>
      </w:r>
      <w:r w:rsidDel="00000000" w:rsidR="00000000" w:rsidRPr="00000000">
        <w:rPr>
          <w:rtl w:val="0"/>
        </w:rPr>
      </w:r>
    </w:p>
    <w:p w:rsidR="00000000" w:rsidDel="00000000" w:rsidP="00000000" w:rsidRDefault="00000000" w:rsidRPr="00000000" w14:paraId="00000177">
      <w:pPr>
        <w:numPr>
          <w:ilvl w:val="0"/>
          <w:numId w:val="19"/>
        </w:numPr>
        <w:ind w:left="1440" w:hanging="360"/>
        <w:rPr>
          <w:color w:val="000000"/>
          <w:sz w:val="24"/>
          <w:szCs w:val="24"/>
          <w:u w:val="none"/>
        </w:rPr>
      </w:pPr>
      <w:r w:rsidDel="00000000" w:rsidR="00000000" w:rsidRPr="00000000">
        <w:rPr>
          <w:color w:val="000000"/>
          <w:sz w:val="24"/>
          <w:szCs w:val="24"/>
          <w:rtl w:val="0"/>
        </w:rPr>
        <w:t xml:space="preserve">General Chemistry II (Spring 2024): SI participation was associated with an increase of 21 points on average.</w:t>
      </w:r>
      <w:r w:rsidDel="00000000" w:rsidR="00000000" w:rsidRPr="00000000">
        <w:rPr>
          <w:rtl w:val="0"/>
        </w:rPr>
      </w:r>
    </w:p>
    <w:p w:rsidR="00000000" w:rsidDel="00000000" w:rsidP="00000000" w:rsidRDefault="00000000" w:rsidRPr="00000000" w14:paraId="00000178">
      <w:pPr>
        <w:numPr>
          <w:ilvl w:val="0"/>
          <w:numId w:val="19"/>
        </w:numPr>
        <w:ind w:left="1440" w:hanging="360"/>
        <w:rPr>
          <w:color w:val="000000"/>
          <w:sz w:val="24"/>
          <w:szCs w:val="24"/>
          <w:u w:val="none"/>
        </w:rPr>
      </w:pPr>
      <w:r w:rsidDel="00000000" w:rsidR="00000000" w:rsidRPr="00000000">
        <w:rPr>
          <w:color w:val="000000"/>
          <w:sz w:val="24"/>
          <w:szCs w:val="24"/>
          <w:rtl w:val="0"/>
        </w:rPr>
        <w:t xml:space="preserve">Organic Chemistry II (Spring 2024): Participants demonstrated an average improvement of 8 points.</w:t>
      </w:r>
      <w:r w:rsidDel="00000000" w:rsidR="00000000" w:rsidRPr="00000000">
        <w:rPr>
          <w:rtl w:val="0"/>
        </w:rPr>
      </w:r>
    </w:p>
    <w:p w:rsidR="00000000" w:rsidDel="00000000" w:rsidP="00000000" w:rsidRDefault="00000000" w:rsidRPr="00000000" w14:paraId="00000179">
      <w:pPr>
        <w:spacing w:after="200" w:lineRule="auto"/>
        <w:ind w:left="720" w:firstLine="0"/>
        <w:rPr/>
      </w:pPr>
      <w:r w:rsidDel="00000000" w:rsidR="00000000" w:rsidRPr="00000000">
        <w:rPr>
          <w:color w:val="000000"/>
          <w:sz w:val="24"/>
          <w:szCs w:val="24"/>
          <w:rtl w:val="0"/>
        </w:rPr>
        <w:t xml:space="preserve">These results are supported by graphical data attached as evidence, which provides exam-by-exam comparisons of performance between SI participants and non-participants.</w:t>
      </w:r>
      <w:r w:rsidDel="00000000" w:rsidR="00000000" w:rsidRPr="00000000">
        <w:rPr>
          <w:rtl w:val="0"/>
        </w:rPr>
      </w:r>
    </w:p>
    <w:p w:rsidR="00000000" w:rsidDel="00000000" w:rsidP="00000000" w:rsidRDefault="00000000" w:rsidRPr="00000000" w14:paraId="0000017A">
      <w:pPr>
        <w:numPr>
          <w:ilvl w:val="0"/>
          <w:numId w:val="7"/>
        </w:numPr>
        <w:ind w:left="720" w:hanging="360"/>
        <w:rPr>
          <w:b w:val="1"/>
          <w:bCs w:val="1"/>
          <w:color w:val="000000"/>
          <w:sz w:val="24"/>
          <w:szCs w:val="24"/>
          <w:u w:val="none"/>
        </w:rPr>
      </w:pPr>
      <w:r w:rsidDel="00000000" w:rsidR="00000000" w:rsidRPr="00000000">
        <w:rPr>
          <w:b w:val="1"/>
          <w:bCs w:val="1"/>
          <w:color w:val="000000"/>
          <w:sz w:val="24"/>
          <w:szCs w:val="24"/>
          <w:rtl w:val="0"/>
        </w:rPr>
        <w:t xml:space="preserve">Program Modifications and Reflections</w:t>
      </w:r>
      <w:r w:rsidDel="00000000" w:rsidR="00000000" w:rsidRPr="00000000">
        <w:rPr>
          <w:rtl w:val="0"/>
        </w:rPr>
      </w:r>
    </w:p>
    <w:p w:rsidR="00000000" w:rsidDel="00000000" w:rsidP="00000000" w:rsidRDefault="00000000" w:rsidRPr="00000000" w14:paraId="0000017B">
      <w:pPr>
        <w:spacing w:after="200" w:lineRule="auto"/>
        <w:ind w:left="720" w:firstLine="0"/>
        <w:rPr/>
      </w:pPr>
      <w:r w:rsidDel="00000000" w:rsidR="00000000" w:rsidRPr="00000000">
        <w:rPr>
          <w:color w:val="000000"/>
          <w:sz w:val="24"/>
          <w:szCs w:val="24"/>
          <w:rtl w:val="0"/>
        </w:rPr>
        <w:t xml:space="preserve">A key modification during the year was the addition of SI leader office hours to provide targeted homework assistance—an area previously outside the scope of standard SI sessions. This adjustment responded to student demand, allowing for greater flexibility in support delivery.</w:t>
      </w:r>
      <w:r w:rsidDel="00000000" w:rsidR="00000000" w:rsidRPr="00000000">
        <w:rPr>
          <w:rtl w:val="0"/>
        </w:rPr>
      </w:r>
    </w:p>
    <w:p w:rsidR="00000000" w:rsidDel="00000000" w:rsidP="00000000" w:rsidRDefault="00000000" w:rsidRPr="00000000" w14:paraId="0000017C">
      <w:pPr>
        <w:spacing w:after="200" w:lineRule="auto"/>
        <w:ind w:left="720" w:firstLine="0"/>
        <w:rPr/>
      </w:pPr>
      <w:r w:rsidDel="00000000" w:rsidR="00000000" w:rsidRPr="00000000">
        <w:rPr>
          <w:color w:val="000000"/>
          <w:sz w:val="24"/>
          <w:szCs w:val="24"/>
          <w:rtl w:val="0"/>
        </w:rPr>
        <w:t xml:space="preserve">Informal feedback highlighted strong appreciation for the SI model among both attendees and SI leaders. One student presented their freshman coin (a symbolic token of educational impact) to an SI leader, reflecting the program’s value.</w:t>
      </w:r>
      <w:r w:rsidDel="00000000" w:rsidR="00000000" w:rsidRPr="00000000">
        <w:rPr>
          <w:rtl w:val="0"/>
        </w:rPr>
      </w:r>
    </w:p>
    <w:p w:rsidR="00000000" w:rsidDel="00000000" w:rsidP="00000000" w:rsidRDefault="00000000" w:rsidRPr="00000000" w14:paraId="0000017D">
      <w:pPr>
        <w:ind w:left="720" w:firstLine="0"/>
        <w:rPr>
          <w:sz w:val="24"/>
          <w:szCs w:val="24"/>
        </w:rPr>
      </w:pPr>
      <w:r w:rsidDel="00000000" w:rsidR="00000000" w:rsidRPr="00000000">
        <w:rPr>
          <w:color w:val="000000"/>
          <w:sz w:val="24"/>
          <w:szCs w:val="24"/>
          <w:rtl w:val="0"/>
        </w:rPr>
        <w:t xml:space="preserve">However, inconsistent data collection across courses and semesters limited a complete evaluation. Improving participation tracking and faculty reporting is a priority for future implementation cycles.</w:t>
      </w:r>
      <w:r w:rsidDel="00000000" w:rsidR="00000000" w:rsidRPr="00000000">
        <w:br w:type="page"/>
      </w:r>
      <w:r w:rsidDel="00000000" w:rsidR="00000000" w:rsidRPr="00000000">
        <w:rPr>
          <w:rtl w:val="0"/>
        </w:rPr>
      </w:r>
    </w:p>
    <w:p w:rsidR="00000000" w:rsidDel="00000000" w:rsidP="00000000" w:rsidRDefault="00000000" w:rsidRPr="00000000" w14:paraId="0000017E">
      <w:pPr>
        <w:pStyle w:val="Heading2"/>
        <w:spacing w:after="0" w:lineRule="auto"/>
        <w:rPr/>
      </w:pPr>
      <w:r w:rsidDel="00000000" w:rsidR="00000000" w:rsidRPr="00000000">
        <w:rPr>
          <w:rtl w:val="0"/>
        </w:rPr>
        <w:t xml:space="preserve">Section II – General Education Assessment</w:t>
      </w:r>
    </w:p>
    <w:p w:rsidR="00000000" w:rsidDel="00000000" w:rsidP="00000000" w:rsidRDefault="00000000" w:rsidRPr="00000000" w14:paraId="0000017F">
      <w:pPr>
        <w:spacing w:before="200" w:lineRule="auto"/>
        <w:rPr>
          <w:sz w:val="24"/>
          <w:szCs w:val="24"/>
        </w:rPr>
      </w:pPr>
      <w:r w:rsidDel="00000000" w:rsidR="00000000" w:rsidRPr="00000000">
        <w:rPr>
          <w:rtl w:val="0"/>
        </w:rPr>
        <w:t xml:space="preserve">For each general education outcome, </w:t>
      </w:r>
      <w:r w:rsidDel="00000000" w:rsidR="00000000" w:rsidRPr="00000000">
        <w:rPr>
          <w:sz w:val="24"/>
          <w:szCs w:val="24"/>
          <w:rtl w:val="0"/>
        </w:rPr>
        <w:t xml:space="preserve">the institutional analysis should address the following:</w:t>
      </w:r>
    </w:p>
    <w:p w:rsidR="00000000" w:rsidDel="00000000" w:rsidP="00000000" w:rsidRDefault="00000000" w:rsidRPr="00000000" w14:paraId="00000180">
      <w:pPr>
        <w:numPr>
          <w:ilvl w:val="0"/>
          <w:numId w:val="11"/>
        </w:numPr>
        <w:ind w:left="720" w:hanging="360"/>
        <w:rPr>
          <w:sz w:val="24"/>
          <w:szCs w:val="24"/>
        </w:rPr>
      </w:pPr>
      <w:r w:rsidDel="00000000" w:rsidR="00000000" w:rsidRPr="00000000">
        <w:rPr>
          <w:sz w:val="24"/>
          <w:szCs w:val="24"/>
          <w:rtl w:val="0"/>
        </w:rPr>
        <w:t xml:space="preserve"> Institutional questions and alignment of course assessments with the outcome and its indicators</w:t>
      </w:r>
    </w:p>
    <w:p w:rsidR="00000000" w:rsidDel="00000000" w:rsidP="00000000" w:rsidRDefault="00000000" w:rsidRPr="00000000" w14:paraId="00000181">
      <w:pPr>
        <w:numPr>
          <w:ilvl w:val="0"/>
          <w:numId w:val="11"/>
        </w:numPr>
        <w:ind w:left="720" w:hanging="360"/>
        <w:rPr>
          <w:sz w:val="24"/>
          <w:szCs w:val="24"/>
        </w:rPr>
      </w:pPr>
      <w:r w:rsidDel="00000000" w:rsidR="00000000" w:rsidRPr="00000000">
        <w:rPr>
          <w:sz w:val="24"/>
          <w:szCs w:val="24"/>
          <w:rtl w:val="0"/>
        </w:rPr>
        <w:t xml:space="preserve">Assessment methods used across courses aligned to the outcome</w:t>
      </w:r>
    </w:p>
    <w:p w:rsidR="00000000" w:rsidDel="00000000" w:rsidP="00000000" w:rsidRDefault="00000000" w:rsidRPr="00000000" w14:paraId="00000182">
      <w:pPr>
        <w:numPr>
          <w:ilvl w:val="0"/>
          <w:numId w:val="11"/>
        </w:numPr>
        <w:ind w:left="720" w:hanging="360"/>
        <w:rPr>
          <w:sz w:val="24"/>
          <w:szCs w:val="24"/>
        </w:rPr>
      </w:pPr>
      <w:r w:rsidDel="00000000" w:rsidR="00000000" w:rsidRPr="00000000">
        <w:rPr>
          <w:sz w:val="24"/>
          <w:szCs w:val="24"/>
          <w:rtl w:val="0"/>
        </w:rPr>
        <w:t xml:space="preserve">Performance outcomes as reported in course-level assessments</w:t>
      </w:r>
    </w:p>
    <w:p w:rsidR="00000000" w:rsidDel="00000000" w:rsidP="00000000" w:rsidRDefault="00000000" w:rsidRPr="00000000" w14:paraId="00000183">
      <w:pPr>
        <w:numPr>
          <w:ilvl w:val="0"/>
          <w:numId w:val="11"/>
        </w:numPr>
        <w:ind w:left="720" w:hanging="360"/>
        <w:rPr>
          <w:sz w:val="24"/>
          <w:szCs w:val="24"/>
        </w:rPr>
      </w:pPr>
      <w:r w:rsidDel="00000000" w:rsidR="00000000" w:rsidRPr="00000000">
        <w:rPr>
          <w:sz w:val="24"/>
          <w:szCs w:val="24"/>
          <w:rtl w:val="0"/>
        </w:rPr>
        <w:t xml:space="preserve">Findings from faculty analysis of assessment results</w:t>
      </w:r>
    </w:p>
    <w:p w:rsidR="00000000" w:rsidDel="00000000" w:rsidP="00000000" w:rsidRDefault="00000000" w:rsidRPr="00000000" w14:paraId="00000184">
      <w:pPr>
        <w:numPr>
          <w:ilvl w:val="0"/>
          <w:numId w:val="11"/>
        </w:numPr>
        <w:ind w:left="720" w:hanging="360"/>
        <w:rPr>
          <w:sz w:val="24"/>
          <w:szCs w:val="24"/>
        </w:rPr>
      </w:pPr>
      <w:r w:rsidDel="00000000" w:rsidR="00000000" w:rsidRPr="00000000">
        <w:rPr>
          <w:sz w:val="24"/>
          <w:szCs w:val="24"/>
          <w:rtl w:val="0"/>
        </w:rPr>
        <w:t xml:space="preserve">Institutional opportunities identified through closing the loop processes</w:t>
      </w:r>
    </w:p>
    <w:p w:rsidR="00000000" w:rsidDel="00000000" w:rsidP="00000000" w:rsidRDefault="00000000" w:rsidRPr="00000000" w14:paraId="00000185">
      <w:pPr>
        <w:numPr>
          <w:ilvl w:val="0"/>
          <w:numId w:val="11"/>
        </w:numPr>
        <w:ind w:left="720" w:hanging="360"/>
        <w:rPr>
          <w:sz w:val="24"/>
          <w:szCs w:val="24"/>
        </w:rPr>
      </w:pPr>
      <w:r w:rsidDel="00000000" w:rsidR="00000000" w:rsidRPr="00000000">
        <w:rPr>
          <w:sz w:val="24"/>
          <w:szCs w:val="24"/>
          <w:rtl w:val="0"/>
        </w:rPr>
        <w:t xml:space="preserve">Next steps for monitoring and strengthening the assessment of this outcome</w:t>
      </w:r>
      <w:r w:rsidDel="00000000" w:rsidR="00000000" w:rsidRPr="00000000">
        <w:rPr>
          <w:rtl w:val="0"/>
        </w:rPr>
      </w:r>
    </w:p>
    <w:p w:rsidR="00000000" w:rsidDel="00000000" w:rsidP="00000000" w:rsidRDefault="00000000" w:rsidRPr="00000000" w14:paraId="00000186">
      <w:pPr>
        <w:pStyle w:val="Heading3"/>
        <w:spacing w:after="0" w:lineRule="auto"/>
        <w:rPr/>
      </w:pPr>
      <w:r w:rsidDel="00000000" w:rsidR="00000000" w:rsidRPr="00000000">
        <w:rPr>
          <w:rtl w:val="0"/>
        </w:rPr>
        <w:t xml:space="preserve">II-1 Analytic Inquiry</w:t>
      </w:r>
    </w:p>
    <w:p w:rsidR="00000000" w:rsidDel="00000000" w:rsidP="00000000" w:rsidRDefault="00000000" w:rsidRPr="00000000" w14:paraId="00000187">
      <w:pPr>
        <w:rPr>
          <w:sz w:val="24"/>
          <w:szCs w:val="24"/>
        </w:rPr>
      </w:pPr>
      <w:r w:rsidDel="00000000" w:rsidR="00000000" w:rsidRPr="00000000">
        <w:rPr>
          <w:color w:val="000000"/>
          <w:sz w:val="24"/>
          <w:szCs w:val="24"/>
          <w:rtl w:val="0"/>
        </w:rPr>
        <w:t xml:space="preserve">Describe the institution’s approach to assessing GE SLO: Analytic Inquiry. Analytic Inquiry is defined as the ability to use systematic reasoning to approach and address questions or problems. Students should be able to:</w:t>
      </w:r>
      <w:r w:rsidDel="00000000" w:rsidR="00000000" w:rsidRPr="00000000">
        <w:rPr>
          <w:rtl w:val="0"/>
        </w:rPr>
      </w:r>
    </w:p>
    <w:p w:rsidR="00000000" w:rsidDel="00000000" w:rsidP="00000000" w:rsidRDefault="00000000" w:rsidRPr="00000000" w14:paraId="00000188">
      <w:pPr>
        <w:numPr>
          <w:ilvl w:val="0"/>
          <w:numId w:val="15"/>
        </w:numPr>
        <w:ind w:left="720" w:hanging="360"/>
        <w:rPr>
          <w:color w:val="000000"/>
          <w:sz w:val="24"/>
          <w:szCs w:val="24"/>
          <w:u w:val="none"/>
        </w:rPr>
      </w:pPr>
      <w:r w:rsidDel="00000000" w:rsidR="00000000" w:rsidRPr="00000000">
        <w:rPr>
          <w:color w:val="000000"/>
          <w:sz w:val="24"/>
          <w:szCs w:val="24"/>
          <w:rtl w:val="0"/>
        </w:rPr>
        <w:t xml:space="preserve">raise vital questions and problems, formulating them clearly and precisely,</w:t>
      </w:r>
      <w:r w:rsidDel="00000000" w:rsidR="00000000" w:rsidRPr="00000000">
        <w:rPr>
          <w:rtl w:val="0"/>
        </w:rPr>
      </w:r>
    </w:p>
    <w:p w:rsidR="00000000" w:rsidDel="00000000" w:rsidP="00000000" w:rsidRDefault="00000000" w:rsidRPr="00000000" w14:paraId="00000189">
      <w:pPr>
        <w:numPr>
          <w:ilvl w:val="0"/>
          <w:numId w:val="15"/>
        </w:numPr>
        <w:ind w:left="720" w:hanging="360"/>
        <w:rPr>
          <w:color w:val="000000"/>
          <w:sz w:val="24"/>
          <w:szCs w:val="24"/>
          <w:u w:val="none"/>
        </w:rPr>
      </w:pPr>
      <w:r w:rsidDel="00000000" w:rsidR="00000000" w:rsidRPr="00000000">
        <w:rPr>
          <w:color w:val="000000"/>
          <w:sz w:val="24"/>
          <w:szCs w:val="24"/>
          <w:rtl w:val="0"/>
        </w:rPr>
        <w:t xml:space="preserve">evaluate approaches to address complex problems, and</w:t>
      </w:r>
      <w:r w:rsidDel="00000000" w:rsidR="00000000" w:rsidRPr="00000000">
        <w:rPr>
          <w:rtl w:val="0"/>
        </w:rPr>
      </w:r>
    </w:p>
    <w:p w:rsidR="00000000" w:rsidDel="00000000" w:rsidP="00000000" w:rsidRDefault="00000000" w:rsidRPr="00000000" w14:paraId="0000018A">
      <w:pPr>
        <w:numPr>
          <w:ilvl w:val="0"/>
          <w:numId w:val="15"/>
        </w:numPr>
        <w:spacing w:after="200" w:lineRule="auto"/>
        <w:ind w:left="720" w:hanging="360"/>
        <w:rPr>
          <w:color w:val="000000"/>
          <w:sz w:val="24"/>
          <w:szCs w:val="24"/>
          <w:u w:val="none"/>
        </w:rPr>
      </w:pPr>
      <w:r w:rsidDel="00000000" w:rsidR="00000000" w:rsidRPr="00000000">
        <w:rPr>
          <w:color w:val="000000"/>
          <w:sz w:val="24"/>
          <w:szCs w:val="24"/>
          <w:rtl w:val="0"/>
        </w:rPr>
        <w:t xml:space="preserve">test proposed solutions.</w:t>
      </w:r>
      <w:r w:rsidDel="00000000" w:rsidR="00000000" w:rsidRPr="00000000">
        <w:rPr>
          <w:rtl w:val="0"/>
        </w:rPr>
      </w:r>
    </w:p>
    <w:p w:rsidR="00000000" w:rsidDel="00000000" w:rsidP="00000000" w:rsidRDefault="00000000" w:rsidRPr="00000000" w14:paraId="0000018B">
      <w:pPr>
        <w:pStyle w:val="Heading4"/>
        <w:spacing w:after="0" w:lineRule="auto"/>
        <w:rPr/>
      </w:pPr>
      <w:bookmarkStart w:colFirst="0" w:colLast="0" w:name="_gxxpew79tpcm" w:id="10"/>
      <w:bookmarkEnd w:id="10"/>
      <w:r w:rsidDel="00000000" w:rsidR="00000000" w:rsidRPr="00000000">
        <w:rPr>
          <w:b w:val="1"/>
          <w:bCs w:val="1"/>
          <w:rtl w:val="0"/>
        </w:rPr>
        <w:t xml:space="preserve">Institutional questions and alignment</w:t>
      </w:r>
      <w:r w:rsidDel="00000000" w:rsidR="00000000" w:rsidRPr="00000000">
        <w:rPr>
          <w:rtl w:val="0"/>
        </w:rPr>
      </w:r>
    </w:p>
    <w:p w:rsidR="00000000" w:rsidDel="00000000" w:rsidP="00000000" w:rsidRDefault="00000000" w:rsidRPr="00000000" w14:paraId="0000018C">
      <w:pPr>
        <w:spacing w:after="200" w:lineRule="auto"/>
        <w:rPr/>
      </w:pPr>
      <w:r w:rsidDel="00000000" w:rsidR="00000000" w:rsidRPr="00000000">
        <w:rPr>
          <w:rtl w:val="0"/>
        </w:rPr>
        <w:t xml:space="preserve">Across the reports, alignment with Indicator A was most common. Faculty described assignments in which students identified questions, issues, or interpretive challenges, especially in courses such as sociology, political science, and art appreciation. However, few courses included direct instruction or criteria related to clarity and precision, which limited complete alignment. Indicator B, which involves evaluating approaches to complex problems, was addressed most clearly in the sciences and social sciences, where students analyzed data or weighed competing explanations. Indicator C, testing proposed solutions, appeared most often in lab-based courses but was absent from most others, particularly in the humanities. No course demonstrated intentional alignment with all three indicators. Overall, the reports reflected broad engagement with analytic reasoning, but coverage of the outcome was uneven and sometimes implicit rather than well-defined.</w:t>
      </w:r>
    </w:p>
    <w:p w:rsidR="00000000" w:rsidDel="00000000" w:rsidP="00000000" w:rsidRDefault="00000000" w:rsidRPr="00000000" w14:paraId="0000018D">
      <w:pPr>
        <w:pStyle w:val="Heading4"/>
        <w:spacing w:after="0" w:lineRule="auto"/>
        <w:rPr/>
      </w:pPr>
      <w:bookmarkStart w:colFirst="0" w:colLast="0" w:name="_mdloeadqcelj" w:id="11"/>
      <w:bookmarkEnd w:id="11"/>
      <w:r w:rsidDel="00000000" w:rsidR="00000000" w:rsidRPr="00000000">
        <w:rPr>
          <w:rtl w:val="0"/>
        </w:rPr>
        <w:t xml:space="preserve">Assessment methods used</w:t>
      </w:r>
    </w:p>
    <w:p w:rsidR="00000000" w:rsidDel="00000000" w:rsidP="00000000" w:rsidRDefault="00000000" w:rsidRPr="00000000" w14:paraId="0000018E">
      <w:pPr>
        <w:spacing w:after="0" w:lineRule="auto"/>
        <w:rPr>
          <w:sz w:val="24"/>
          <w:szCs w:val="24"/>
        </w:rPr>
      </w:pPr>
      <w:r w:rsidDel="00000000" w:rsidR="00000000" w:rsidRPr="00000000">
        <w:rPr>
          <w:color w:val="000000"/>
          <w:sz w:val="24"/>
          <w:szCs w:val="24"/>
          <w:rtl w:val="0"/>
        </w:rPr>
        <w:t xml:space="preserve">Assessment methods used across the 22 courses aligned to Analytic Inquiry varied by discipline but shared a common reliance on embedded, course-based assignments. Most faculty members used existing course activities, such as essays, lab reports, discussion-based reflections, or comparative analyses, as direct measures of student learning. Several reports described pre-and post-assessments designed to capture student growth in reasoning over time. In the natural sciences, faculty commonly use lab exercises or model-based explanations as evidence of student reasoning. In contrast, in the humanities and social sciences, written assignments were the primary mode of assessment. Although some faculty included quantitative results or performance targets, most described the method qualitatively, focusing on the intellectual demands of the task. Few reports included detailed rubrics or scoring criteria explicitly tied to the Analytic Inquiry indicators, and only a limited number provided disaggregated results by delivery format or student subgroup. Overall, the dominant approach was to assess Analytic Inquiry through authentic, discipline-embedded tasks that align with course content, though the level of documentation and specificity varied.</w:t>
      </w:r>
      <w:r w:rsidDel="00000000" w:rsidR="00000000" w:rsidRPr="00000000">
        <w:rPr>
          <w:rtl w:val="0"/>
        </w:rPr>
      </w:r>
    </w:p>
    <w:p w:rsidR="00000000" w:rsidDel="00000000" w:rsidP="00000000" w:rsidRDefault="00000000" w:rsidRPr="00000000" w14:paraId="0000018F">
      <w:pPr>
        <w:pStyle w:val="Heading4"/>
        <w:spacing w:after="0" w:before="200" w:lineRule="auto"/>
        <w:rPr/>
      </w:pPr>
      <w:bookmarkStart w:colFirst="0" w:colLast="0" w:name="_jv7zq0edgxz1" w:id="12"/>
      <w:bookmarkEnd w:id="12"/>
      <w:r w:rsidDel="00000000" w:rsidR="00000000" w:rsidRPr="00000000">
        <w:rPr>
          <w:rtl w:val="0"/>
        </w:rPr>
        <w:t xml:space="preserve">Performance outcomes</w:t>
      </w:r>
    </w:p>
    <w:p w:rsidR="00000000" w:rsidDel="00000000" w:rsidP="00000000" w:rsidRDefault="00000000" w:rsidRPr="00000000" w14:paraId="00000190">
      <w:pPr>
        <w:rPr/>
      </w:pPr>
      <w:r w:rsidDel="00000000" w:rsidR="00000000" w:rsidRPr="00000000">
        <w:rPr>
          <w:rtl w:val="0"/>
        </w:rPr>
        <w:t xml:space="preserve">Performance outcomes across the 22 courses varied in format and specificity. Still, most faculty reported that the majority of students met or exceeded the expected level of performance on assignments aligned with Analytic Inquiry. Several reports included precise numerical data, with success rates ranging from 75% to over 90% on targeted assessments. In lab-based courses, performance was typically measured through the percentage of students who correctly completed analytical or interpretive tasks. In writing-intensive courses, outcomes were reported through grade distributions or qualitative descriptions of student work. A few faculty members used pre- and post-assessment comparisons to demonstrate growth in students' reasoning abilities over the term. However, the level of detail varied widely; some reports offered specific breakdowns by assignment or delivery method, while others described results in general terms without quantitative evidence. In nearly all cases, faculty concluded that students were achieving the expected outcomes, though the degree of documentation supporting those conclusions was uneven.</w:t>
      </w:r>
    </w:p>
    <w:p w:rsidR="00000000" w:rsidDel="00000000" w:rsidP="00000000" w:rsidRDefault="00000000" w:rsidRPr="00000000" w14:paraId="00000191">
      <w:pPr>
        <w:pStyle w:val="Heading4"/>
        <w:spacing w:after="0" w:before="200" w:lineRule="auto"/>
        <w:rPr/>
      </w:pPr>
      <w:bookmarkStart w:colFirst="0" w:colLast="0" w:name="_x3qm9e59cae" w:id="13"/>
      <w:bookmarkEnd w:id="13"/>
      <w:r w:rsidDel="00000000" w:rsidR="00000000" w:rsidRPr="00000000">
        <w:rPr>
          <w:rtl w:val="0"/>
        </w:rPr>
        <w:t xml:space="preserve">Findings from faculty analysis</w:t>
      </w:r>
    </w:p>
    <w:p w:rsidR="00000000" w:rsidDel="00000000" w:rsidP="00000000" w:rsidRDefault="00000000" w:rsidRPr="00000000" w14:paraId="00000192">
      <w:pPr>
        <w:spacing w:before="0" w:lineRule="auto"/>
        <w:rPr/>
      </w:pPr>
      <w:r w:rsidDel="00000000" w:rsidR="00000000" w:rsidRPr="00000000">
        <w:rPr>
          <w:rtl w:val="0"/>
        </w:rPr>
        <w:t xml:space="preserve">While all 22 course assessment reports identified Analytic Inquiry as a targeted outcome, faculty analysis of results was generally framed around course-specific goals rather than the institutional learning outcome. Instructors reflected on student performance, areas of strength or struggle, and instructional changes, but few explicitly linked their analysis to Analytic Inquiry or its indicators. The term itself did not appear in any findings or interpretation sections. As a result, faculty observations provided insight into student learning in context. They did not consistently address how well students demonstrated the ability to formulate questions, evaluate approaches, or test solutions. This suggests a gap between outcome selection and outcome-focused analysis, highlighting an opportunity for more intentional alignment between course-level reflection and institutional learning goals.</w:t>
      </w:r>
    </w:p>
    <w:p w:rsidR="00000000" w:rsidDel="00000000" w:rsidP="00000000" w:rsidRDefault="00000000" w:rsidRPr="00000000" w14:paraId="00000193">
      <w:pPr>
        <w:pStyle w:val="Heading4"/>
        <w:spacing w:after="0" w:before="200" w:lineRule="auto"/>
        <w:rPr/>
      </w:pPr>
      <w:bookmarkStart w:colFirst="0" w:colLast="0" w:name="_7fljou1x26sf" w:id="14"/>
      <w:bookmarkEnd w:id="14"/>
      <w:r w:rsidDel="00000000" w:rsidR="00000000" w:rsidRPr="00000000">
        <w:rPr>
          <w:rtl w:val="0"/>
        </w:rPr>
        <w:t xml:space="preserve">Closing the loop: institutional opportunities</w:t>
      </w:r>
    </w:p>
    <w:p w:rsidR="00000000" w:rsidDel="00000000" w:rsidP="00000000" w:rsidRDefault="00000000" w:rsidRPr="00000000" w14:paraId="00000194">
      <w:pPr>
        <w:rPr/>
      </w:pPr>
      <w:r w:rsidDel="00000000" w:rsidR="00000000" w:rsidRPr="00000000">
        <w:rPr>
          <w:rtl w:val="0"/>
        </w:rPr>
        <w:t xml:space="preserve">Faculty members described instructional changes and plans for improving student engagement, but none directly referenced Analytic Inquiry in their closing-the-loop reflections. While some adjustments may support reasoning or problem-solving, they were not explicitly tied to the outcome or its indicators. This suggests an opportunity to guide faculty in connecting future actions more clearly to institutional learning goals.</w:t>
      </w:r>
    </w:p>
    <w:p w:rsidR="00000000" w:rsidDel="00000000" w:rsidP="00000000" w:rsidRDefault="00000000" w:rsidRPr="00000000" w14:paraId="00000195">
      <w:pPr>
        <w:pStyle w:val="Heading4"/>
        <w:spacing w:after="0" w:before="200" w:lineRule="auto"/>
        <w:rPr/>
      </w:pPr>
      <w:bookmarkStart w:colFirst="0" w:colLast="0" w:name="_3hmm2lmvq87y" w:id="15"/>
      <w:bookmarkEnd w:id="15"/>
      <w:r w:rsidDel="00000000" w:rsidR="00000000" w:rsidRPr="00000000">
        <w:rPr>
          <w:rtl w:val="0"/>
        </w:rPr>
        <w:t xml:space="preserve">Next steps and monitoring</w:t>
      </w:r>
    </w:p>
    <w:p w:rsidR="00000000" w:rsidDel="00000000" w:rsidP="00000000" w:rsidRDefault="00000000" w:rsidRPr="00000000" w14:paraId="00000196">
      <w:pPr>
        <w:rPr/>
      </w:pPr>
      <w:r w:rsidDel="00000000" w:rsidR="00000000" w:rsidRPr="00000000">
        <w:rPr>
          <w:rtl w:val="0"/>
        </w:rPr>
        <w:t xml:space="preserve">Future assessment cycles may benefit from greater consistency in reporting performance data across all courses. The updated reporting process beginning in 2024–2025 is expected to capture more relevant quantitative data, which will enable deeper institutional analysis and a clearer picture of student achievement. Monitoring will also focus on whether additional forms of assessment evidence can be collected that reflect all three dimensions of Analytic Inquiry.</w:t>
      </w:r>
      <w:r w:rsidDel="00000000" w:rsidR="00000000" w:rsidRPr="00000000">
        <w:rPr>
          <w:rtl w:val="0"/>
        </w:rPr>
      </w:r>
    </w:p>
    <w:p w:rsidR="00000000" w:rsidDel="00000000" w:rsidP="00000000" w:rsidRDefault="00000000" w:rsidRPr="00000000" w14:paraId="00000197">
      <w:pPr>
        <w:pStyle w:val="Heading3"/>
        <w:spacing w:after="0" w:lineRule="auto"/>
        <w:rPr/>
      </w:pPr>
      <w:r w:rsidDel="00000000" w:rsidR="00000000" w:rsidRPr="00000000">
        <w:rPr>
          <w:rtl w:val="0"/>
        </w:rPr>
        <w:t xml:space="preserve">II-2 Information Literacy</w:t>
      </w:r>
    </w:p>
    <w:p w:rsidR="00000000" w:rsidDel="00000000" w:rsidP="00000000" w:rsidRDefault="00000000" w:rsidRPr="00000000" w14:paraId="00000198">
      <w:pPr>
        <w:rPr>
          <w:sz w:val="24"/>
          <w:szCs w:val="24"/>
        </w:rPr>
      </w:pPr>
      <w:r w:rsidDel="00000000" w:rsidR="00000000" w:rsidRPr="00000000">
        <w:rPr>
          <w:sz w:val="24"/>
          <w:szCs w:val="24"/>
          <w:rtl w:val="0"/>
        </w:rPr>
        <w:t xml:space="preserve">Describe the institution’s approach to assessing GE SLO: Information Literacy. Students should be able to:</w:t>
      </w:r>
    </w:p>
    <w:p w:rsidR="00000000" w:rsidDel="00000000" w:rsidP="00000000" w:rsidRDefault="00000000" w:rsidRPr="00000000" w14:paraId="00000199">
      <w:pPr>
        <w:numPr>
          <w:ilvl w:val="0"/>
          <w:numId w:val="14"/>
        </w:numPr>
        <w:spacing w:after="0" w:before="0" w:lineRule="auto"/>
        <w:ind w:left="720" w:hanging="360"/>
        <w:rPr>
          <w:sz w:val="24"/>
          <w:szCs w:val="24"/>
        </w:rPr>
      </w:pPr>
      <w:r w:rsidDel="00000000" w:rsidR="00000000" w:rsidRPr="00000000">
        <w:rPr>
          <w:sz w:val="24"/>
          <w:szCs w:val="24"/>
          <w:rtl w:val="0"/>
        </w:rPr>
        <w:t xml:space="preserve">Determine the extent of information needed;</w:t>
      </w:r>
      <w:r w:rsidDel="00000000" w:rsidR="00000000" w:rsidRPr="00000000">
        <w:rPr>
          <w:rtl w:val="0"/>
        </w:rPr>
      </w:r>
    </w:p>
    <w:p w:rsidR="00000000" w:rsidDel="00000000" w:rsidP="00000000" w:rsidRDefault="00000000" w:rsidRPr="00000000" w14:paraId="0000019A">
      <w:pPr>
        <w:numPr>
          <w:ilvl w:val="0"/>
          <w:numId w:val="14"/>
        </w:numPr>
        <w:spacing w:after="0" w:before="0" w:lineRule="auto"/>
        <w:ind w:left="720" w:hanging="360"/>
        <w:rPr>
          <w:sz w:val="24"/>
          <w:szCs w:val="24"/>
        </w:rPr>
      </w:pPr>
      <w:r w:rsidDel="00000000" w:rsidR="00000000" w:rsidRPr="00000000">
        <w:rPr>
          <w:sz w:val="24"/>
          <w:szCs w:val="24"/>
          <w:rtl w:val="0"/>
        </w:rPr>
        <w:t xml:space="preserve">Leverage technologies ethically to identify and access needed information;</w:t>
      </w:r>
      <w:r w:rsidDel="00000000" w:rsidR="00000000" w:rsidRPr="00000000">
        <w:rPr>
          <w:rtl w:val="0"/>
        </w:rPr>
      </w:r>
    </w:p>
    <w:p w:rsidR="00000000" w:rsidDel="00000000" w:rsidP="00000000" w:rsidRDefault="00000000" w:rsidRPr="00000000" w14:paraId="0000019B">
      <w:pPr>
        <w:numPr>
          <w:ilvl w:val="0"/>
          <w:numId w:val="14"/>
        </w:numPr>
        <w:spacing w:after="0" w:before="0" w:lineRule="auto"/>
        <w:ind w:left="720" w:hanging="360"/>
        <w:rPr>
          <w:sz w:val="24"/>
          <w:szCs w:val="24"/>
        </w:rPr>
      </w:pPr>
      <w:r w:rsidDel="00000000" w:rsidR="00000000" w:rsidRPr="00000000">
        <w:rPr>
          <w:sz w:val="24"/>
          <w:szCs w:val="24"/>
          <w:rtl w:val="0"/>
        </w:rPr>
        <w:t xml:space="preserve">Evaluate the reliability and comparative worth of various information sources;</w:t>
      </w:r>
      <w:r w:rsidDel="00000000" w:rsidR="00000000" w:rsidRPr="00000000">
        <w:rPr>
          <w:rtl w:val="0"/>
        </w:rPr>
      </w:r>
    </w:p>
    <w:p w:rsidR="00000000" w:rsidDel="00000000" w:rsidP="00000000" w:rsidRDefault="00000000" w:rsidRPr="00000000" w14:paraId="0000019C">
      <w:pPr>
        <w:numPr>
          <w:ilvl w:val="0"/>
          <w:numId w:val="14"/>
        </w:numPr>
        <w:spacing w:after="0" w:before="0" w:lineRule="auto"/>
        <w:ind w:left="720" w:hanging="360"/>
        <w:rPr>
          <w:sz w:val="24"/>
          <w:szCs w:val="24"/>
        </w:rPr>
      </w:pPr>
      <w:r w:rsidDel="00000000" w:rsidR="00000000" w:rsidRPr="00000000">
        <w:rPr>
          <w:sz w:val="24"/>
          <w:szCs w:val="24"/>
          <w:rtl w:val="0"/>
        </w:rPr>
        <w:t xml:space="preserve">Use information effectively to accomplish a specific purpose;</w:t>
      </w:r>
      <w:r w:rsidDel="00000000" w:rsidR="00000000" w:rsidRPr="00000000">
        <w:rPr>
          <w:rtl w:val="0"/>
        </w:rPr>
      </w:r>
    </w:p>
    <w:p w:rsidR="00000000" w:rsidDel="00000000" w:rsidP="00000000" w:rsidRDefault="00000000" w:rsidRPr="00000000" w14:paraId="0000019D">
      <w:pPr>
        <w:numPr>
          <w:ilvl w:val="0"/>
          <w:numId w:val="14"/>
        </w:numPr>
        <w:spacing w:after="200" w:before="0" w:lineRule="auto"/>
        <w:ind w:left="720" w:hanging="360"/>
        <w:rPr>
          <w:sz w:val="24"/>
          <w:szCs w:val="24"/>
        </w:rPr>
      </w:pPr>
      <w:r w:rsidDel="00000000" w:rsidR="00000000" w:rsidRPr="00000000">
        <w:rPr>
          <w:sz w:val="24"/>
          <w:szCs w:val="24"/>
          <w:rtl w:val="0"/>
        </w:rPr>
        <w:t xml:space="preserve">Use information ethically and legally.</w:t>
      </w:r>
    </w:p>
    <w:p w:rsidR="00000000" w:rsidDel="00000000" w:rsidP="00000000" w:rsidRDefault="00000000" w:rsidRPr="00000000" w14:paraId="0000019E">
      <w:pPr>
        <w:pStyle w:val="Heading4"/>
        <w:spacing w:after="0" w:before="0" w:lineRule="auto"/>
        <w:rPr/>
      </w:pPr>
      <w:bookmarkStart w:colFirst="0" w:colLast="0" w:name="_co4aizabb3xr" w:id="16"/>
      <w:bookmarkEnd w:id="16"/>
      <w:r w:rsidDel="00000000" w:rsidR="00000000" w:rsidRPr="00000000">
        <w:rPr>
          <w:rtl w:val="0"/>
        </w:rPr>
        <w:t xml:space="preserve">Institutional Questions and Alignment of Course Assessments with the Outcome and Its Indicators</w:t>
      </w:r>
    </w:p>
    <w:p w:rsidR="00000000" w:rsidDel="00000000" w:rsidP="00000000" w:rsidRDefault="00000000" w:rsidRPr="00000000" w14:paraId="0000019F">
      <w:pPr>
        <w:spacing w:before="0" w:lineRule="auto"/>
        <w:rPr/>
      </w:pPr>
      <w:r w:rsidDel="00000000" w:rsidR="00000000" w:rsidRPr="00000000">
        <w:rPr>
          <w:color w:val="000000"/>
          <w:sz w:val="24"/>
          <w:szCs w:val="24"/>
          <w:rtl w:val="0"/>
        </w:rPr>
        <w:t xml:space="preserve">Instructors across disciplines selected this outcome in their Degrees of Excellence alignments when assignments required students to locate, evaluate, and apply information purposefully and ethically. The outcome was assessed in courses from general education, professional programs, and the library media curriculum, illustrating its interdisciplinary relevance. No single course assessment addressed all five indicators of the outcome. However, most referenced one or more directly, most often focusing on the evaluation of reliability, the ethical use of sources, and the practical application of information.</w:t>
      </w:r>
      <w:r w:rsidDel="00000000" w:rsidR="00000000" w:rsidRPr="00000000">
        <w:rPr>
          <w:rtl w:val="0"/>
        </w:rPr>
      </w:r>
    </w:p>
    <w:p w:rsidR="00000000" w:rsidDel="00000000" w:rsidP="00000000" w:rsidRDefault="00000000" w:rsidRPr="00000000" w14:paraId="000001A0">
      <w:pPr>
        <w:spacing w:after="200" w:lineRule="auto"/>
        <w:rPr>
          <w:sz w:val="24"/>
          <w:szCs w:val="24"/>
        </w:rPr>
      </w:pPr>
      <w:r w:rsidDel="00000000" w:rsidR="00000000" w:rsidRPr="00000000">
        <w:rPr>
          <w:color w:val="000000"/>
          <w:sz w:val="24"/>
          <w:szCs w:val="24"/>
          <w:rtl w:val="0"/>
        </w:rPr>
        <w:t xml:space="preserve">Alignment was achieved through faculty-developed assignments that reflected one or more components of the Information Literacy definition. Several instructors used the outcome to structure research-based writing, digital source evaluations, or technology-integrated projects. In many cases, the outcome was assessed through major assignments that constituted a significant portion of the course grade. Faculty described alignment to information literacy principles through assignment prompts, source requirements, citation expectations, and tool use, such as databases, search engines, and library guides. The repeated selection of this outcome across a wide range of disciplines demonstrates a campus-wide understanding of information literacy as a foundational academic and professional skill.</w:t>
      </w:r>
      <w:r w:rsidDel="00000000" w:rsidR="00000000" w:rsidRPr="00000000">
        <w:rPr>
          <w:rtl w:val="0"/>
        </w:rPr>
      </w:r>
    </w:p>
    <w:p w:rsidR="00000000" w:rsidDel="00000000" w:rsidP="00000000" w:rsidRDefault="00000000" w:rsidRPr="00000000" w14:paraId="000001A1">
      <w:pPr>
        <w:pStyle w:val="Heading4"/>
        <w:spacing w:after="0" w:lineRule="auto"/>
        <w:rPr/>
      </w:pPr>
      <w:bookmarkStart w:colFirst="0" w:colLast="0" w:name="_9svwcg2dlaxr" w:id="17"/>
      <w:bookmarkEnd w:id="17"/>
      <w:r w:rsidDel="00000000" w:rsidR="00000000" w:rsidRPr="00000000">
        <w:rPr>
          <w:rtl w:val="0"/>
        </w:rPr>
        <w:t xml:space="preserve">Assessment Methods Used Across Courses Aligned to the Outcome</w:t>
      </w:r>
    </w:p>
    <w:p w:rsidR="00000000" w:rsidDel="00000000" w:rsidP="00000000" w:rsidRDefault="00000000" w:rsidRPr="00000000" w14:paraId="000001A2">
      <w:pPr>
        <w:rPr>
          <w:sz w:val="24"/>
          <w:szCs w:val="24"/>
        </w:rPr>
      </w:pPr>
      <w:r w:rsidDel="00000000" w:rsidR="00000000" w:rsidRPr="00000000">
        <w:rPr>
          <w:color w:val="000000"/>
          <w:sz w:val="24"/>
          <w:szCs w:val="24"/>
          <w:rtl w:val="0"/>
        </w:rPr>
        <w:t xml:space="preserve">Faculty used a range of embedded course assessments to evaluate Information Literacy. Common methods included rubric-scored research papers, guided source evaluation activities, annotated bibliographies, and technology-integrated projects. Many courses assigned multi-phase research tasks that began with topic selection and source identification, followed by evaluation and synthesis of evidence in support of a specific purpose. For example, students in American Government analyzed policy topics using academic and government sources, while students in Introduction to Literature incorporated multiple perspectives to support literary arguments. Courses in Library Media focused on database search strategies, citation formatting, and identifying appropriate source types. Technology courses emphasized ethical navigation of digital tools and platforms. In all cases, assessments were designed to align with one or more components of the Information Literacy outcome, and faculty used structured scoring methods to evaluate student performance.</w:t>
      </w:r>
      <w:r w:rsidDel="00000000" w:rsidR="00000000" w:rsidRPr="00000000">
        <w:rPr>
          <w:rtl w:val="0"/>
        </w:rPr>
      </w:r>
    </w:p>
    <w:p w:rsidR="00000000" w:rsidDel="00000000" w:rsidP="00000000" w:rsidRDefault="00000000" w:rsidRPr="00000000" w14:paraId="000001A3">
      <w:pPr>
        <w:pStyle w:val="Heading4"/>
        <w:spacing w:after="0" w:before="200" w:lineRule="auto"/>
        <w:rPr/>
      </w:pPr>
      <w:bookmarkStart w:colFirst="0" w:colLast="0" w:name="_2tqtg469cfdk" w:id="18"/>
      <w:bookmarkEnd w:id="18"/>
      <w:r w:rsidDel="00000000" w:rsidR="00000000" w:rsidRPr="00000000">
        <w:rPr>
          <w:rtl w:val="0"/>
        </w:rPr>
        <w:t xml:space="preserve">Performance Outcomes as Reported in Course-Level Assessments</w:t>
      </w:r>
    </w:p>
    <w:p w:rsidR="00000000" w:rsidDel="00000000" w:rsidP="00000000" w:rsidRDefault="00000000" w:rsidRPr="00000000" w14:paraId="000001A4">
      <w:pPr>
        <w:spacing w:before="0" w:lineRule="auto"/>
        <w:rPr>
          <w:sz w:val="24"/>
          <w:szCs w:val="24"/>
        </w:rPr>
      </w:pPr>
      <w:r w:rsidDel="00000000" w:rsidR="00000000" w:rsidRPr="00000000">
        <w:rPr>
          <w:color w:val="000000"/>
          <w:sz w:val="24"/>
          <w:szCs w:val="24"/>
          <w:rtl w:val="0"/>
        </w:rPr>
        <w:t xml:space="preserve">Across the 2023–2024 assessment cycle, most courses reported that a clear majority of students met or exceeded expectations on the Information Literacy outcome. In several courses, 75% or more of students demonstrated proficiency in selecting appropriate sources, applying them effectively, and using them ethically. For example, in Advanced Online Research, students performed strongly in identifying peer-reviewed sources and accurately formatting citations. In Emerging Technologies, students showed success in locating and applying credible digital tools for instructional purposes. Literature and government courses reported that students generally applied information purposefully, although some struggled to distinguish between scholarly and non-scholarly sources. Reports commonly noted stronger performance on indicators related to source access and ethical use, with lower scores in areas requiring critical evaluation or comparison of multiple sources.</w:t>
      </w:r>
      <w:r w:rsidDel="00000000" w:rsidR="00000000" w:rsidRPr="00000000">
        <w:rPr>
          <w:rtl w:val="0"/>
        </w:rPr>
      </w:r>
    </w:p>
    <w:p w:rsidR="00000000" w:rsidDel="00000000" w:rsidP="00000000" w:rsidRDefault="00000000" w:rsidRPr="00000000" w14:paraId="000001A5">
      <w:pPr>
        <w:pStyle w:val="Heading4"/>
        <w:spacing w:after="0" w:before="200" w:lineRule="auto"/>
        <w:rPr/>
      </w:pPr>
      <w:bookmarkStart w:colFirst="0" w:colLast="0" w:name="_n3bzi08zpjlr" w:id="19"/>
      <w:bookmarkEnd w:id="19"/>
      <w:r w:rsidDel="00000000" w:rsidR="00000000" w:rsidRPr="00000000">
        <w:rPr>
          <w:rtl w:val="0"/>
        </w:rPr>
        <w:t xml:space="preserve">Findings from Faculty Analysis of Assessment Results</w:t>
      </w:r>
    </w:p>
    <w:p w:rsidR="00000000" w:rsidDel="00000000" w:rsidP="00000000" w:rsidRDefault="00000000" w:rsidRPr="00000000" w14:paraId="000001A6">
      <w:pPr>
        <w:spacing w:before="0" w:lineRule="auto"/>
        <w:rPr>
          <w:sz w:val="24"/>
          <w:szCs w:val="24"/>
        </w:rPr>
      </w:pPr>
      <w:r w:rsidDel="00000000" w:rsidR="00000000" w:rsidRPr="00000000">
        <w:rPr>
          <w:color w:val="000000"/>
          <w:sz w:val="24"/>
          <w:szCs w:val="24"/>
          <w:rtl w:val="0"/>
        </w:rPr>
        <w:t xml:space="preserve">Faculty analysis of assessment results was clearly documented in the majority of reports aligned to the Information Literacy outcome. In 15 of the 17 reports, instructors explicitly referenced Information Literacy by name when reflecting on student performance. These reflections are often connected directly to one or more indicators, such as evaluating the reliability of sources or using information ethically. Faculty noted that students generally performed well when assignments provided structured guidance, particularly in terms of citation practices and accessing sources. However, several instructors observed persistent challenges in critical evaluation, especially when students were asked to compare the quality or credibility of competing sources. In response, faculty proposed targeted improvements, including enhanced instructional materials, earlier scaffolding of research skills, and closer integration of library resources. These reflections demonstrate that the Information Literacy outcome was not only assessed but actively analyzed as part of course-level improvement efforts.</w:t>
      </w:r>
      <w:r w:rsidDel="00000000" w:rsidR="00000000" w:rsidRPr="00000000">
        <w:rPr>
          <w:rtl w:val="0"/>
        </w:rPr>
      </w:r>
    </w:p>
    <w:p w:rsidR="00000000" w:rsidDel="00000000" w:rsidP="00000000" w:rsidRDefault="00000000" w:rsidRPr="00000000" w14:paraId="000001A7">
      <w:pPr>
        <w:pStyle w:val="Heading4"/>
        <w:spacing w:after="0" w:before="200" w:lineRule="auto"/>
        <w:rPr/>
      </w:pPr>
      <w:bookmarkStart w:colFirst="0" w:colLast="0" w:name="_xgsfgltzcyc9" w:id="20"/>
      <w:bookmarkEnd w:id="20"/>
      <w:r w:rsidDel="00000000" w:rsidR="00000000" w:rsidRPr="00000000">
        <w:rPr>
          <w:rtl w:val="0"/>
        </w:rPr>
        <w:t xml:space="preserve">Institutional Opportunities Identified Through Closing the Loop Processes</w:t>
      </w:r>
    </w:p>
    <w:p w:rsidR="00000000" w:rsidDel="00000000" w:rsidP="00000000" w:rsidRDefault="00000000" w:rsidRPr="00000000" w14:paraId="000001A8">
      <w:pPr>
        <w:rPr>
          <w:sz w:val="24"/>
          <w:szCs w:val="24"/>
        </w:rPr>
      </w:pPr>
      <w:r w:rsidDel="00000000" w:rsidR="00000000" w:rsidRPr="00000000">
        <w:rPr>
          <w:color w:val="000000"/>
          <w:sz w:val="24"/>
          <w:szCs w:val="24"/>
          <w:rtl w:val="0"/>
        </w:rPr>
        <w:t xml:space="preserve">Several course assessment reports documented intentional plans to improve instruction related to the Information Literacy outcome. In these reports, faculty identified specific challenges observed in student work and proposed responsive strategies for future offerings. For example, instructors in Library Media courses planned to revise database search tutorials and citation exercises to provide more explicit guidance on ethical and legal use of information. In English and Political Science courses, faculty proposed embedding source evaluation tools earlier in the semester to support more consistent performance on identifying reliable and relevant sources. One faculty member in Emerging Technologies described integrating structured checkpoints into digital research projects to reinforce ethical access to sources. These planned changes were explicitly tied to observed performance on the Information Literacy outcome and reflect a shared commitment to ongoing instructional refinement through the 'closing the loop' process.</w:t>
      </w:r>
      <w:r w:rsidDel="00000000" w:rsidR="00000000" w:rsidRPr="00000000">
        <w:rPr>
          <w:rtl w:val="0"/>
        </w:rPr>
      </w:r>
    </w:p>
    <w:p w:rsidR="00000000" w:rsidDel="00000000" w:rsidP="00000000" w:rsidRDefault="00000000" w:rsidRPr="00000000" w14:paraId="000001A9">
      <w:pPr>
        <w:pStyle w:val="Heading4"/>
        <w:spacing w:after="0" w:before="200" w:lineRule="auto"/>
        <w:rPr/>
      </w:pPr>
      <w:bookmarkStart w:colFirst="0" w:colLast="0" w:name="_a2cu55ahzg5d" w:id="21"/>
      <w:bookmarkEnd w:id="21"/>
      <w:r w:rsidDel="00000000" w:rsidR="00000000" w:rsidRPr="00000000">
        <w:rPr>
          <w:rtl w:val="0"/>
        </w:rPr>
        <w:t xml:space="preserve">Next Steps for Monitoring and Strengthening the Assessment of this Outcome</w:t>
      </w:r>
    </w:p>
    <w:p w:rsidR="00000000" w:rsidDel="00000000" w:rsidP="00000000" w:rsidRDefault="00000000" w:rsidRPr="00000000" w14:paraId="000001AA">
      <w:pPr>
        <w:rPr>
          <w:sz w:val="24"/>
          <w:szCs w:val="24"/>
        </w:rPr>
      </w:pPr>
      <w:r w:rsidDel="00000000" w:rsidR="00000000" w:rsidRPr="00000000">
        <w:rPr>
          <w:color w:val="000000"/>
          <w:sz w:val="24"/>
          <w:szCs w:val="24"/>
          <w:rtl w:val="0"/>
        </w:rPr>
        <w:t xml:space="preserve">NSU is currently revising its general education framework, which includes a review of course alignment with general education outcomes. As part of this process, the selection of outcomes and the alignment of indicators will be clarified across all approved general education courses. Beginning with the 2024–2025 assessment cycle, faculty will be asked to identify which components of each outcome are addressed in their assessments and to describe how their measures align with the selected indicators. These updates aim to enhance the consistency and utility of general education assessment results at both the course and institutional levels.</w:t>
      </w:r>
      <w:r w:rsidDel="00000000" w:rsidR="00000000" w:rsidRPr="00000000">
        <w:rPr>
          <w:rtl w:val="0"/>
        </w:rPr>
      </w:r>
    </w:p>
    <w:p w:rsidR="00000000" w:rsidDel="00000000" w:rsidP="00000000" w:rsidRDefault="00000000" w:rsidRPr="00000000" w14:paraId="000001AB">
      <w:pPr>
        <w:pStyle w:val="Heading3"/>
        <w:spacing w:after="0" w:lineRule="auto"/>
        <w:rPr/>
      </w:pPr>
      <w:r w:rsidDel="00000000" w:rsidR="00000000" w:rsidRPr="00000000">
        <w:rPr>
          <w:rtl w:val="0"/>
        </w:rPr>
        <w:t xml:space="preserve">II-3 Engaging Diverse Perspectives</w:t>
      </w:r>
    </w:p>
    <w:p w:rsidR="00000000" w:rsidDel="00000000" w:rsidP="00000000" w:rsidRDefault="00000000" w:rsidRPr="00000000" w14:paraId="000001AC">
      <w:pPr>
        <w:rPr>
          <w:color w:val="000000"/>
          <w:sz w:val="24"/>
          <w:szCs w:val="24"/>
        </w:rPr>
      </w:pPr>
      <w:r w:rsidDel="00000000" w:rsidR="00000000" w:rsidRPr="00000000">
        <w:rPr>
          <w:color w:val="000000"/>
          <w:sz w:val="24"/>
          <w:szCs w:val="24"/>
          <w:rtl w:val="0"/>
        </w:rPr>
        <w:t xml:space="preserve">Describe the institution's approach to assessing GE SLO: Engaging Diverse Perspectives. Engaging diverse perspectives is defined as explaining alternative systems of thought, including their assumptions, implications, and practical consequences. </w:t>
      </w:r>
    </w:p>
    <w:p w:rsidR="00000000" w:rsidDel="00000000" w:rsidP="00000000" w:rsidRDefault="00000000" w:rsidRPr="00000000" w14:paraId="000001AD">
      <w:pPr>
        <w:pStyle w:val="Heading4"/>
        <w:spacing w:after="0" w:before="200" w:lineRule="auto"/>
        <w:rPr/>
      </w:pPr>
      <w:bookmarkStart w:colFirst="0" w:colLast="0" w:name="_gwely7nzg47w" w:id="22"/>
      <w:bookmarkEnd w:id="22"/>
      <w:r w:rsidDel="00000000" w:rsidR="00000000" w:rsidRPr="00000000">
        <w:rPr>
          <w:rtl w:val="0"/>
        </w:rPr>
        <w:t xml:space="preserve">Institutional questions and alignment of course assessments with the outcome and its indicators</w:t>
      </w:r>
    </w:p>
    <w:p w:rsidR="00000000" w:rsidDel="00000000" w:rsidP="00000000" w:rsidRDefault="00000000" w:rsidRPr="00000000" w14:paraId="000001AE">
      <w:pPr>
        <w:rPr>
          <w:sz w:val="24"/>
          <w:szCs w:val="24"/>
        </w:rPr>
      </w:pPr>
      <w:r w:rsidDel="00000000" w:rsidR="00000000" w:rsidRPr="00000000">
        <w:rPr>
          <w:color w:val="000000"/>
          <w:sz w:val="24"/>
          <w:szCs w:val="24"/>
          <w:rtl w:val="0"/>
        </w:rPr>
        <w:t xml:space="preserve">All fifteen courses identified Engaging Diverse Perspectives as a general education outcome, but the degree of alignment varied. In several classes, the outcome was clearly integrated into course objectives and instructional content. CHER 4113, ANTH 2223, POLS 2313, DRAM 2763, and SOC 1113 positioned the analysis of contrasting worldviews or cultural systems as a central feature of student learning. These courses aligned well with the outcome’s definition by asking students to explain alternative systems of thought and consider their assumptions and implications.</w:t>
      </w:r>
      <w:r w:rsidDel="00000000" w:rsidR="00000000" w:rsidRPr="00000000">
        <w:rPr>
          <w:rtl w:val="0"/>
        </w:rPr>
      </w:r>
    </w:p>
    <w:p w:rsidR="00000000" w:rsidDel="00000000" w:rsidP="00000000" w:rsidRDefault="00000000" w:rsidRPr="00000000" w14:paraId="000001AF">
      <w:pPr>
        <w:spacing w:before="200" w:lineRule="auto"/>
        <w:rPr>
          <w:sz w:val="24"/>
          <w:szCs w:val="24"/>
        </w:rPr>
      </w:pPr>
      <w:r w:rsidDel="00000000" w:rsidR="00000000" w:rsidRPr="00000000">
        <w:rPr>
          <w:color w:val="000000"/>
          <w:sz w:val="24"/>
          <w:szCs w:val="24"/>
          <w:rtl w:val="0"/>
        </w:rPr>
        <w:t xml:space="preserve">Other courses showed only partial or surface-level alignment. CHER 1123, GEOG 2243, PSYC 1003, H ED 1113, and ENGL 2113 included the outcome in formal documentation but did not clearly connect it to the course's learning structure. Their narratives emphasized factual recall, terminology, or basic skills rather than critical engagement with diverse perspectives. As a result, institutional alignment to the outcome is broad but uneven. Several courses provide a strong conceptual fit, while others list the outcome without demonstrating clear curricular or instructional integration.</w:t>
      </w:r>
      <w:r w:rsidDel="00000000" w:rsidR="00000000" w:rsidRPr="00000000">
        <w:rPr>
          <w:rtl w:val="0"/>
        </w:rPr>
      </w:r>
    </w:p>
    <w:p w:rsidR="00000000" w:rsidDel="00000000" w:rsidP="00000000" w:rsidRDefault="00000000" w:rsidRPr="00000000" w14:paraId="000001B0">
      <w:pPr>
        <w:pStyle w:val="Heading4"/>
        <w:spacing w:after="0" w:before="200" w:lineRule="auto"/>
        <w:rPr/>
      </w:pPr>
      <w:bookmarkStart w:colFirst="0" w:colLast="0" w:name="_hn4ripmnznjl" w:id="23"/>
      <w:bookmarkEnd w:id="23"/>
      <w:r w:rsidDel="00000000" w:rsidR="00000000" w:rsidRPr="00000000">
        <w:rPr>
          <w:rtl w:val="0"/>
        </w:rPr>
        <w:t xml:space="preserve">Assessment methods used across courses aligned to the outcome</w:t>
      </w:r>
    </w:p>
    <w:p w:rsidR="00000000" w:rsidDel="00000000" w:rsidP="00000000" w:rsidRDefault="00000000" w:rsidRPr="00000000" w14:paraId="000001B1">
      <w:pPr>
        <w:rPr>
          <w:sz w:val="24"/>
          <w:szCs w:val="24"/>
        </w:rPr>
      </w:pPr>
      <w:r w:rsidDel="00000000" w:rsidR="00000000" w:rsidRPr="00000000">
        <w:rPr>
          <w:color w:val="000000"/>
          <w:sz w:val="24"/>
          <w:szCs w:val="24"/>
          <w:rtl w:val="0"/>
        </w:rPr>
        <w:t xml:space="preserve">Assessment methods varied widely across the courses, with only a portion using tools that clearly measured students' engagement with diverse perspectives. In the strongest cases, such as CHER 4113 and ANTH 2223, students completed structured essays or comprehensive exams that required them to compare cultural viewpoints or explain historical transformations from multiple perspectives. These tools were designed to elicit evidence of students analyzing the assumptions, implications, or consequences associated with alternative worldviews, directly aligning with the outcome.</w:t>
      </w:r>
      <w:r w:rsidDel="00000000" w:rsidR="00000000" w:rsidRPr="00000000">
        <w:rPr>
          <w:rtl w:val="0"/>
        </w:rPr>
      </w:r>
    </w:p>
    <w:p w:rsidR="00000000" w:rsidDel="00000000" w:rsidP="00000000" w:rsidRDefault="00000000" w:rsidRPr="00000000" w14:paraId="000001B2">
      <w:pPr>
        <w:spacing w:before="200" w:lineRule="auto"/>
        <w:rPr>
          <w:sz w:val="24"/>
          <w:szCs w:val="24"/>
        </w:rPr>
      </w:pPr>
      <w:r w:rsidDel="00000000" w:rsidR="00000000" w:rsidRPr="00000000">
        <w:rPr>
          <w:color w:val="000000"/>
          <w:sz w:val="24"/>
          <w:szCs w:val="24"/>
          <w:rtl w:val="0"/>
        </w:rPr>
        <w:t xml:space="preserve">Other courses used indirect or proxy measures. ART 2023 and DRAM 2763, for example, evaluated engagement through reflective writing on artistic styles or performances, which can support the outcome when prompts are well framed. However, several courses relied on general exam scores or final grades without specifying whether the items assessed directly the outcome being evaluated. In CHER 1123, GEOG 2243, PSYC 1003, and both HED 1113 sections, assessments focused on vocabulary, factual knowledge, or practical skills, with no precise mechanism in place to evaluate whether students engaged critically with diverse perspectives. </w:t>
      </w:r>
      <w:r w:rsidDel="00000000" w:rsidR="00000000" w:rsidRPr="00000000">
        <w:rPr>
          <w:rtl w:val="0"/>
        </w:rPr>
      </w:r>
    </w:p>
    <w:p w:rsidR="00000000" w:rsidDel="00000000" w:rsidP="00000000" w:rsidRDefault="00000000" w:rsidRPr="00000000" w14:paraId="000001B3">
      <w:pPr>
        <w:pStyle w:val="Heading4"/>
        <w:spacing w:after="0" w:before="200" w:lineRule="auto"/>
        <w:rPr/>
      </w:pPr>
      <w:bookmarkStart w:colFirst="0" w:colLast="0" w:name="_ipq00ctkjeg5" w:id="24"/>
      <w:bookmarkEnd w:id="24"/>
      <w:r w:rsidDel="00000000" w:rsidR="00000000" w:rsidRPr="00000000">
        <w:rPr>
          <w:rtl w:val="0"/>
        </w:rPr>
        <w:t xml:space="preserve">Performance outcomes as reported in course-level assessments</w:t>
      </w:r>
    </w:p>
    <w:p w:rsidR="00000000" w:rsidDel="00000000" w:rsidP="00000000" w:rsidRDefault="00000000" w:rsidRPr="00000000" w14:paraId="000001B4">
      <w:pPr>
        <w:rPr>
          <w:sz w:val="24"/>
          <w:szCs w:val="24"/>
        </w:rPr>
      </w:pPr>
      <w:r w:rsidDel="00000000" w:rsidR="00000000" w:rsidRPr="00000000">
        <w:rPr>
          <w:color w:val="000000"/>
          <w:sz w:val="24"/>
          <w:szCs w:val="24"/>
          <w:rtl w:val="0"/>
        </w:rPr>
        <w:t xml:space="preserve">Performance results were generally strong across courses, although in many cases, the reported data reflected overall course success rather than specific achievements tied to the Engaging Diverse Perspectives outcome. In CHER 4113, students demonstrated consistently high performance across multiple delivery formats, with 80 to 100 percent meeting or exceeding the target for learning about cultural heritage through written essays and exams. Similarly, ANTH 2223 and POLS 2313 reported full or near-full achievement of outcome targets, suggesting that students were able to engage meaningfully with course content centered on multiple worldviews.</w:t>
      </w:r>
      <w:r w:rsidDel="00000000" w:rsidR="00000000" w:rsidRPr="00000000">
        <w:rPr>
          <w:rtl w:val="0"/>
        </w:rPr>
      </w:r>
    </w:p>
    <w:p w:rsidR="00000000" w:rsidDel="00000000" w:rsidP="00000000" w:rsidRDefault="00000000" w:rsidRPr="00000000" w14:paraId="000001B5">
      <w:pPr>
        <w:spacing w:after="200" w:before="200" w:lineRule="auto"/>
        <w:rPr>
          <w:sz w:val="24"/>
          <w:szCs w:val="24"/>
        </w:rPr>
      </w:pPr>
      <w:r w:rsidDel="00000000" w:rsidR="00000000" w:rsidRPr="00000000">
        <w:rPr>
          <w:color w:val="000000"/>
          <w:sz w:val="24"/>
          <w:szCs w:val="24"/>
          <w:rtl w:val="0"/>
        </w:rPr>
        <w:t xml:space="preserve">Other courses reported high pass rates but did not disaggregate performance related to this outcome. For example, CHER 1123, PSYC 1003, and H ED 1113 reported exam averages or final grade distributions without linking specific items or tasks to the diverse perspectives outcome. In these cases, strong performance may reflect content mastery rather than demonstrated ability to explain alternative systems of thought. ART 2023 provided comparative performance data between initial and final writing assignments, showing notable improvement; however, it was unclear how much of that growth directly reflected the outcome in question. As a result, while most courses reported meeting their performance targets, only a subset provided outcome-specific evidence of student learning.</w:t>
      </w:r>
      <w:r w:rsidDel="00000000" w:rsidR="00000000" w:rsidRPr="00000000">
        <w:rPr>
          <w:rtl w:val="0"/>
        </w:rPr>
      </w:r>
    </w:p>
    <w:p w:rsidR="00000000" w:rsidDel="00000000" w:rsidP="00000000" w:rsidRDefault="00000000" w:rsidRPr="00000000" w14:paraId="000001B6">
      <w:pPr>
        <w:pStyle w:val="Heading4"/>
        <w:spacing w:after="0" w:lineRule="auto"/>
        <w:rPr/>
      </w:pPr>
      <w:bookmarkStart w:colFirst="0" w:colLast="0" w:name="_njzb388562q5" w:id="25"/>
      <w:bookmarkEnd w:id="25"/>
      <w:r w:rsidDel="00000000" w:rsidR="00000000" w:rsidRPr="00000000">
        <w:rPr>
          <w:rtl w:val="0"/>
        </w:rPr>
        <w:t xml:space="preserve">Findings from faculty analysis of assessment results</w:t>
      </w:r>
    </w:p>
    <w:p w:rsidR="00000000" w:rsidDel="00000000" w:rsidP="00000000" w:rsidRDefault="00000000" w:rsidRPr="00000000" w14:paraId="000001B7">
      <w:pPr>
        <w:spacing w:after="200" w:lineRule="auto"/>
        <w:rPr>
          <w:sz w:val="24"/>
          <w:szCs w:val="24"/>
        </w:rPr>
      </w:pPr>
      <w:r w:rsidDel="00000000" w:rsidR="00000000" w:rsidRPr="00000000">
        <w:rPr>
          <w:color w:val="000000"/>
          <w:sz w:val="24"/>
          <w:szCs w:val="24"/>
          <w:rtl w:val="0"/>
        </w:rPr>
        <w:t xml:space="preserve">Faculty in several courses identified key patterns and limitations in their analysis of assessment results related to Engaging Diverse Perspectives. In CHER 4113 and ANTH 2223, faculty noted that moving away from multiple-choice tests to more qualitative assessments, such as essays, provided better evidence of student understanding. These instructors reported that written responses revealed how well students could explain cultural frameworks and shifts in worldview, and they viewed the data as a more valid reflection of learning. Faculty in POLS 2313 and DRAM 2763 also emphasized that students responded well to assignments requiring comparative analysis or reflection on conflicting perspectives.</w:t>
      </w:r>
      <w:r w:rsidDel="00000000" w:rsidR="00000000" w:rsidRPr="00000000">
        <w:rPr>
          <w:rtl w:val="0"/>
        </w:rPr>
      </w:r>
    </w:p>
    <w:p w:rsidR="00000000" w:rsidDel="00000000" w:rsidP="00000000" w:rsidRDefault="00000000" w:rsidRPr="00000000" w14:paraId="000001B8">
      <w:pPr>
        <w:spacing w:after="200" w:lineRule="auto"/>
        <w:rPr>
          <w:sz w:val="24"/>
          <w:szCs w:val="24"/>
        </w:rPr>
      </w:pPr>
      <w:r w:rsidDel="00000000" w:rsidR="00000000" w:rsidRPr="00000000">
        <w:rPr>
          <w:color w:val="000000"/>
          <w:sz w:val="24"/>
          <w:szCs w:val="24"/>
          <w:rtl w:val="0"/>
        </w:rPr>
        <w:t xml:space="preserve">In contrast, faculty in other courses raised concerns about the accuracy or relevance of their current assessment tools. In ENGL 2113, for example, faculty acknowledged that the tool in use was not effectively capturing student learning and cited uneven engagement and inconsistent implementation across sections. Similarly, H ED 1113 and CHER 1123 reports questioned whether current methods provided meaningful insights into students' abilities to engage with diverse perspectives. These reflections suggest that while some instructors are confident in their tools and interpretations, others recognize a need to revise or clarify their approach to draw valid conclusions about student learning on this outcome.</w:t>
      </w:r>
      <w:r w:rsidDel="00000000" w:rsidR="00000000" w:rsidRPr="00000000">
        <w:rPr>
          <w:rtl w:val="0"/>
        </w:rPr>
      </w:r>
    </w:p>
    <w:p w:rsidR="00000000" w:rsidDel="00000000" w:rsidP="00000000" w:rsidRDefault="00000000" w:rsidRPr="00000000" w14:paraId="000001B9">
      <w:pPr>
        <w:pStyle w:val="Heading4"/>
        <w:spacing w:after="0" w:lineRule="auto"/>
        <w:rPr/>
      </w:pPr>
      <w:bookmarkStart w:colFirst="0" w:colLast="0" w:name="_x8cv2h7gyje1" w:id="26"/>
      <w:bookmarkEnd w:id="26"/>
      <w:r w:rsidDel="00000000" w:rsidR="00000000" w:rsidRPr="00000000">
        <w:rPr>
          <w:rtl w:val="0"/>
        </w:rPr>
        <w:t xml:space="preserve">Institutional opportunities identified through closing the loop processes</w:t>
      </w:r>
    </w:p>
    <w:p w:rsidR="00000000" w:rsidDel="00000000" w:rsidP="00000000" w:rsidRDefault="00000000" w:rsidRPr="00000000" w14:paraId="000001BA">
      <w:pPr>
        <w:spacing w:after="200" w:lineRule="auto"/>
        <w:rPr>
          <w:sz w:val="24"/>
          <w:szCs w:val="24"/>
        </w:rPr>
      </w:pPr>
      <w:r w:rsidDel="00000000" w:rsidR="00000000" w:rsidRPr="00000000">
        <w:rPr>
          <w:color w:val="000000"/>
          <w:sz w:val="24"/>
          <w:szCs w:val="24"/>
          <w:rtl w:val="0"/>
        </w:rPr>
        <w:t xml:space="preserve">Faculty across multiple courses identified the need to improve assessment tools and instructional integration for the Engaging Diverse Perspectives outcome. In ENGL 2113, HED 1113, and PSYC 1003, instructors noted that current tools did not effectively capture the outcomes and plan to revise or replace them. Courses like CHER 1123 and CHER 1113 proposed adding more rigorous tasks to assess cultural understanding alongside language skills. In stronger-aligned courses such as CHER 4113 and ANTH 2223, faculty intend to refine existing essay prompts and continue qualitative assessment. Overall, faculty reflections pointed to a shared opportunity better to align measurement practices with the outcome’s intent and improve consistency across sections.</w:t>
      </w:r>
      <w:r w:rsidDel="00000000" w:rsidR="00000000" w:rsidRPr="00000000">
        <w:rPr>
          <w:rtl w:val="0"/>
        </w:rPr>
      </w:r>
    </w:p>
    <w:p w:rsidR="00000000" w:rsidDel="00000000" w:rsidP="00000000" w:rsidRDefault="00000000" w:rsidRPr="00000000" w14:paraId="000001BB">
      <w:pPr>
        <w:pStyle w:val="Heading4"/>
        <w:spacing w:after="0" w:lineRule="auto"/>
        <w:rPr/>
      </w:pPr>
      <w:bookmarkStart w:colFirst="0" w:colLast="0" w:name="_1g1juxdafjor" w:id="27"/>
      <w:bookmarkEnd w:id="27"/>
      <w:r w:rsidDel="00000000" w:rsidR="00000000" w:rsidRPr="00000000">
        <w:rPr>
          <w:b w:val="1"/>
          <w:bCs w:val="1"/>
          <w:rtl w:val="0"/>
        </w:rPr>
        <w:t xml:space="preserve">Next steps for monitoring and strengthening assessment of this outcome</w:t>
      </w: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The next phase of institutional work should focus on improving the consistency and specificity of assessment practices tied to Engaging Diverse Perspectives. While course selection of the outcome is broad, only a subset currently assesses it in a way that reflects its core definition. Priority next steps include developing shared guidelines for what constitutes valid evidence of engagement with alternative systems of thought, supporting faculty in revising assignments and rubrics, and encouraging the use of direct, outcome-specific measures rather than general performance data. Continued emphasis on reflective faculty reporting and coordination across departments will also be important to ensure that all courses claiming alignment with the outcome are meaningfully addressing its indicators.</w:t>
      </w:r>
    </w:p>
    <w:p w:rsidR="00000000" w:rsidDel="00000000" w:rsidP="00000000" w:rsidRDefault="00000000" w:rsidRPr="00000000" w14:paraId="000001BD">
      <w:pPr>
        <w:pStyle w:val="Heading3"/>
        <w:spacing w:after="0" w:lineRule="auto"/>
        <w:rPr/>
      </w:pPr>
      <w:r w:rsidDel="00000000" w:rsidR="00000000" w:rsidRPr="00000000">
        <w:rPr>
          <w:rtl w:val="0"/>
        </w:rPr>
        <w:t xml:space="preserve">II-4  Quantitative Fluency</w:t>
      </w:r>
    </w:p>
    <w:p w:rsidR="00000000" w:rsidDel="00000000" w:rsidP="00000000" w:rsidRDefault="00000000" w:rsidRPr="00000000" w14:paraId="000001BE">
      <w:pPr>
        <w:rPr>
          <w:sz w:val="24"/>
          <w:szCs w:val="24"/>
        </w:rPr>
      </w:pPr>
      <w:r w:rsidDel="00000000" w:rsidR="00000000" w:rsidRPr="00000000">
        <w:rPr>
          <w:color w:val="000000"/>
          <w:sz w:val="24"/>
          <w:szCs w:val="24"/>
          <w:rtl w:val="0"/>
        </w:rPr>
        <w:t xml:space="preserve">Describe the institution's approach to assessing GE SLO: Quantitative Fluency. Quantitative Fluency is defined as the ability to:</w:t>
      </w:r>
      <w:r w:rsidDel="00000000" w:rsidR="00000000" w:rsidRPr="00000000">
        <w:rPr>
          <w:sz w:val="24"/>
          <w:szCs w:val="24"/>
          <w:rtl w:val="0"/>
        </w:rPr>
        <w:t xml:space="preserve"> </w:t>
      </w:r>
    </w:p>
    <w:p w:rsidR="00000000" w:rsidDel="00000000" w:rsidP="00000000" w:rsidRDefault="00000000" w:rsidRPr="00000000" w14:paraId="000001BF">
      <w:pPr>
        <w:numPr>
          <w:ilvl w:val="0"/>
          <w:numId w:val="1"/>
        </w:numPr>
        <w:ind w:left="720" w:hanging="360"/>
        <w:rPr>
          <w:color w:val="000000"/>
          <w:sz w:val="24"/>
          <w:szCs w:val="24"/>
          <w:u w:val="none"/>
        </w:rPr>
      </w:pPr>
      <w:r w:rsidDel="00000000" w:rsidR="00000000" w:rsidRPr="00000000">
        <w:rPr>
          <w:color w:val="000000"/>
          <w:sz w:val="24"/>
          <w:szCs w:val="24"/>
          <w:rtl w:val="0"/>
        </w:rPr>
        <w:t xml:space="preserve">Write an equation using mathematical symbols that expresses a relationship;</w:t>
      </w:r>
      <w:r w:rsidDel="00000000" w:rsidR="00000000" w:rsidRPr="00000000">
        <w:rPr>
          <w:rtl w:val="0"/>
        </w:rPr>
      </w:r>
    </w:p>
    <w:p w:rsidR="00000000" w:rsidDel="00000000" w:rsidP="00000000" w:rsidRDefault="00000000" w:rsidRPr="00000000" w14:paraId="000001C0">
      <w:pPr>
        <w:numPr>
          <w:ilvl w:val="0"/>
          <w:numId w:val="1"/>
        </w:numPr>
        <w:ind w:left="720" w:hanging="360"/>
        <w:rPr>
          <w:color w:val="000000"/>
          <w:sz w:val="24"/>
          <w:szCs w:val="24"/>
          <w:u w:val="none"/>
        </w:rPr>
      </w:pPr>
      <w:r w:rsidDel="00000000" w:rsidR="00000000" w:rsidRPr="00000000">
        <w:rPr>
          <w:color w:val="000000"/>
          <w:sz w:val="24"/>
          <w:szCs w:val="24"/>
          <w:rtl w:val="0"/>
        </w:rPr>
        <w:t xml:space="preserve">Perform arithmetic operations on algebraic expressions and solve linear equations;</w:t>
      </w:r>
      <w:r w:rsidDel="00000000" w:rsidR="00000000" w:rsidRPr="00000000">
        <w:rPr>
          <w:rtl w:val="0"/>
        </w:rPr>
      </w:r>
    </w:p>
    <w:p w:rsidR="00000000" w:rsidDel="00000000" w:rsidP="00000000" w:rsidRDefault="00000000" w:rsidRPr="00000000" w14:paraId="000001C1">
      <w:pPr>
        <w:numPr>
          <w:ilvl w:val="0"/>
          <w:numId w:val="1"/>
        </w:numPr>
        <w:ind w:left="720" w:hanging="360"/>
        <w:rPr>
          <w:sz w:val="24"/>
          <w:szCs w:val="24"/>
          <w:u w:val="none"/>
        </w:rPr>
      </w:pPr>
      <w:r w:rsidDel="00000000" w:rsidR="00000000" w:rsidRPr="00000000">
        <w:rPr>
          <w:color w:val="000000"/>
          <w:sz w:val="24"/>
          <w:szCs w:val="24"/>
          <w:rtl w:val="0"/>
        </w:rPr>
        <w:t xml:space="preserve">Evaluate the validity of procedures in solving a mathematical problem;</w:t>
      </w:r>
      <w:r w:rsidDel="00000000" w:rsidR="00000000" w:rsidRPr="00000000">
        <w:rPr>
          <w:sz w:val="24"/>
          <w:szCs w:val="24"/>
          <w:rtl w:val="0"/>
        </w:rPr>
        <w:t xml:space="preserve"> </w:t>
      </w:r>
    </w:p>
    <w:p w:rsidR="00000000" w:rsidDel="00000000" w:rsidP="00000000" w:rsidRDefault="00000000" w:rsidRPr="00000000" w14:paraId="000001C2">
      <w:pPr>
        <w:numPr>
          <w:ilvl w:val="0"/>
          <w:numId w:val="1"/>
        </w:numPr>
        <w:spacing w:after="200" w:lineRule="auto"/>
        <w:ind w:left="720" w:hanging="360"/>
        <w:rPr>
          <w:sz w:val="24"/>
          <w:szCs w:val="24"/>
          <w:u w:val="none"/>
        </w:rPr>
      </w:pPr>
      <w:r w:rsidDel="00000000" w:rsidR="00000000" w:rsidRPr="00000000">
        <w:rPr>
          <w:color w:val="000000"/>
          <w:sz w:val="24"/>
          <w:szCs w:val="24"/>
          <w:rtl w:val="0"/>
        </w:rPr>
        <w:t xml:space="preserve">Interpret mathematical models such as formulas, graphs, tables, and schematics, and draw inferences from them.</w:t>
      </w:r>
      <w:r w:rsidDel="00000000" w:rsidR="00000000" w:rsidRPr="00000000">
        <w:rPr>
          <w:rtl w:val="0"/>
        </w:rPr>
      </w:r>
    </w:p>
    <w:p w:rsidR="00000000" w:rsidDel="00000000" w:rsidP="00000000" w:rsidRDefault="00000000" w:rsidRPr="00000000" w14:paraId="000001C3">
      <w:pPr>
        <w:pStyle w:val="Heading4"/>
        <w:spacing w:after="0" w:lineRule="auto"/>
        <w:rPr/>
      </w:pPr>
      <w:bookmarkStart w:colFirst="0" w:colLast="0" w:name="_c79pmblp9k0r" w:id="28"/>
      <w:bookmarkEnd w:id="28"/>
      <w:r w:rsidDel="00000000" w:rsidR="00000000" w:rsidRPr="00000000">
        <w:rPr>
          <w:rtl w:val="0"/>
        </w:rPr>
        <w:t xml:space="preserve">Institutional questions and alignment of course assessments with the outcome and its indicators</w:t>
      </w:r>
    </w:p>
    <w:p w:rsidR="00000000" w:rsidDel="00000000" w:rsidP="00000000" w:rsidRDefault="00000000" w:rsidRPr="00000000" w14:paraId="000001C4">
      <w:pPr>
        <w:spacing w:after="200" w:lineRule="auto"/>
        <w:rPr>
          <w:sz w:val="24"/>
          <w:szCs w:val="24"/>
        </w:rPr>
      </w:pPr>
      <w:r w:rsidDel="00000000" w:rsidR="00000000" w:rsidRPr="00000000">
        <w:rPr>
          <w:color w:val="000000"/>
          <w:sz w:val="24"/>
          <w:szCs w:val="24"/>
          <w:rtl w:val="0"/>
        </w:rPr>
        <w:t xml:space="preserve">Faculty submitted course-level assessments intended to measure Quantitative Fluency, and several reports included language that reflects alignment with at least one part of the outcome. Specifically, five of the eight reports referenced the use of formulas, graphs, tables, or similar tools, which aligns with the outcome’s expectation that students interpret mathematical models and draw inferences from them. This indicates alignment with one of the four defined components. However, no course referenced all four parts of the outcome, and three of the reports did not include any identifiable language that directly connected to the outcome’s indicators.</w:t>
      </w:r>
      <w:r w:rsidDel="00000000" w:rsidR="00000000" w:rsidRPr="00000000">
        <w:rPr>
          <w:rtl w:val="0"/>
        </w:rPr>
      </w:r>
    </w:p>
    <w:p w:rsidR="00000000" w:rsidDel="00000000" w:rsidP="00000000" w:rsidRDefault="00000000" w:rsidRPr="00000000" w14:paraId="000001C5">
      <w:pPr>
        <w:pStyle w:val="Heading4"/>
        <w:spacing w:after="0" w:lineRule="auto"/>
        <w:rPr/>
      </w:pPr>
      <w:bookmarkStart w:colFirst="0" w:colLast="0" w:name="_rtfydxmmp015" w:id="29"/>
      <w:bookmarkEnd w:id="29"/>
      <w:r w:rsidDel="00000000" w:rsidR="00000000" w:rsidRPr="00000000">
        <w:rPr>
          <w:rtl w:val="0"/>
        </w:rPr>
        <w:t xml:space="preserve">Assessment methods used across courses aligned to the outcome</w:t>
      </w:r>
    </w:p>
    <w:p w:rsidR="00000000" w:rsidDel="00000000" w:rsidP="00000000" w:rsidRDefault="00000000" w:rsidRPr="00000000" w14:paraId="000001C6">
      <w:pPr>
        <w:spacing w:after="200" w:lineRule="auto"/>
        <w:rPr>
          <w:sz w:val="24"/>
          <w:szCs w:val="24"/>
        </w:rPr>
      </w:pPr>
      <w:r w:rsidDel="00000000" w:rsidR="00000000" w:rsidRPr="00000000">
        <w:rPr>
          <w:color w:val="000000"/>
          <w:sz w:val="24"/>
          <w:szCs w:val="24"/>
          <w:rtl w:val="0"/>
        </w:rPr>
        <w:t xml:space="preserve">The courses used a variety of embedded assessment methods to measure Quantitative Fluency within the context of existing assignments, exams, and instructional activities. Most faculty members selected specific exam questions, in-class tasks, or laboratory activities that were already part of their course grading structure. For example, mathematics courses used problem sets or test items involving symbolic expressions, formulas, or equation solving. Science courses typically assessed quantitative reasoning through data tables, graphs, and formula-based calculations within lab reports or lecture exams. In several cases, instructors described asking students to complete multi-step problems that involved interpreting results or converting measurements. However, the structure and format of the assessments varied widely across courses, and most did not utilize a rubric or a common scoring guide aligned with the Quantitative Fluency outcome.</w:t>
      </w:r>
      <w:r w:rsidDel="00000000" w:rsidR="00000000" w:rsidRPr="00000000">
        <w:rPr>
          <w:rtl w:val="0"/>
        </w:rPr>
      </w:r>
    </w:p>
    <w:p w:rsidR="00000000" w:rsidDel="00000000" w:rsidP="00000000" w:rsidRDefault="00000000" w:rsidRPr="00000000" w14:paraId="000001C7">
      <w:pPr>
        <w:pStyle w:val="Heading4"/>
        <w:spacing w:after="0" w:lineRule="auto"/>
        <w:rPr/>
      </w:pPr>
      <w:bookmarkStart w:colFirst="0" w:colLast="0" w:name="_4sbck17366yz" w:id="30"/>
      <w:bookmarkEnd w:id="30"/>
      <w:r w:rsidDel="00000000" w:rsidR="00000000" w:rsidRPr="00000000">
        <w:rPr>
          <w:b w:val="1"/>
          <w:bCs w:val="1"/>
          <w:rtl w:val="0"/>
        </w:rPr>
        <w:t xml:space="preserve">Performance outcomes as reported in course-level assessments</w:t>
      </w:r>
      <w:r w:rsidDel="00000000" w:rsidR="00000000" w:rsidRPr="00000000">
        <w:rPr>
          <w:rtl w:val="0"/>
        </w:rPr>
      </w:r>
    </w:p>
    <w:p w:rsidR="00000000" w:rsidDel="00000000" w:rsidP="00000000" w:rsidRDefault="00000000" w:rsidRPr="00000000" w14:paraId="000001C8">
      <w:pPr>
        <w:spacing w:after="200" w:lineRule="auto"/>
        <w:rPr/>
      </w:pPr>
      <w:r w:rsidDel="00000000" w:rsidR="00000000" w:rsidRPr="00000000">
        <w:rPr>
          <w:rtl w:val="0"/>
        </w:rPr>
        <w:t xml:space="preserve">Reported student performance varied across courses but generally indicated that a majority of students met expectations on the selected assessments. In the courses that included numerical summaries, success rates typically ranged from 70% to 90%. For example, reports from College Algebra and Applied Mathematics described strong results on problems involving formulas and graphical interpretation. Similarly, the Environmental Problems and Physical Geology courses reported that most students were able to work effectively with tables and graphs. A few reports included only narrative summaries without indicating how many students met the outcome or how proficiency was determined. Overall, the evidence suggests that students are demonstrating foundational skills in Quantitative Fluency, primarily when assessments focus on interpreting or applying mathematical models; fewer courses reported on more advanced reasoning skills, such as evaluating procedures or justifying solution strategies.</w:t>
      </w:r>
    </w:p>
    <w:p w:rsidR="00000000" w:rsidDel="00000000" w:rsidP="00000000" w:rsidRDefault="00000000" w:rsidRPr="00000000" w14:paraId="000001C9">
      <w:pPr>
        <w:pStyle w:val="Heading4"/>
        <w:spacing w:after="0" w:lineRule="auto"/>
        <w:rPr/>
      </w:pPr>
      <w:bookmarkStart w:colFirst="0" w:colLast="0" w:name="_cmtnhg1gmmqr" w:id="31"/>
      <w:bookmarkEnd w:id="31"/>
      <w:r w:rsidDel="00000000" w:rsidR="00000000" w:rsidRPr="00000000">
        <w:rPr>
          <w:b w:val="1"/>
          <w:bCs w:val="1"/>
          <w:rtl w:val="0"/>
        </w:rPr>
        <w:t xml:space="preserve">Findings from faculty analysis of assessment results</w:t>
      </w:r>
      <w:r w:rsidDel="00000000" w:rsidR="00000000" w:rsidRPr="00000000">
        <w:rPr>
          <w:rtl w:val="0"/>
        </w:rPr>
      </w:r>
    </w:p>
    <w:p w:rsidR="00000000" w:rsidDel="00000000" w:rsidP="00000000" w:rsidRDefault="00000000" w:rsidRPr="00000000" w14:paraId="000001CA">
      <w:pPr>
        <w:spacing w:after="200" w:lineRule="auto"/>
        <w:rPr/>
      </w:pPr>
      <w:r w:rsidDel="00000000" w:rsidR="00000000" w:rsidRPr="00000000">
        <w:rPr>
          <w:rtl w:val="0"/>
        </w:rPr>
        <w:t xml:space="preserve">Faculty reflections on student performance were generally positive, with many instructors noting that students demonstrated basic competency in the skills assessed. Several faculty commented that students performed well when tasks were clearly structured and focused on specific procedures, such as using formulas or interpreting graphs. Instructors in science courses observed that students were more confident applying quantitative methods when those methods were directly tied to real-world or lab-based scenarios. However, multiple faculty also noted areas where students struggled. For example, some students had difficulty explaining their reasoning or recognizing errors in multi-step problems, which limited their ability to demonstrate a more profound understanding. A few instructors acknowledged that they would benefit from additional support in designing assessments that measure reasoning and interpretation rather than just procedural accuracy. These faculty insights offer valuable context for understanding where students are excelling and where instructional or curricular adjustments may be necessary to enhance performance on the more interpretive components of the outcome.</w:t>
      </w:r>
    </w:p>
    <w:p w:rsidR="00000000" w:rsidDel="00000000" w:rsidP="00000000" w:rsidRDefault="00000000" w:rsidRPr="00000000" w14:paraId="000001CB">
      <w:pPr>
        <w:pStyle w:val="Heading4"/>
        <w:spacing w:after="0" w:lineRule="auto"/>
        <w:rPr/>
      </w:pPr>
      <w:bookmarkStart w:colFirst="0" w:colLast="0" w:name="_delmwrlqanea" w:id="32"/>
      <w:bookmarkEnd w:id="32"/>
      <w:r w:rsidDel="00000000" w:rsidR="00000000" w:rsidRPr="00000000">
        <w:rPr>
          <w:rtl w:val="0"/>
        </w:rPr>
        <w:t xml:space="preserve">Institutional opportunities identified through closing the loop processes</w:t>
      </w:r>
    </w:p>
    <w:p w:rsidR="00000000" w:rsidDel="00000000" w:rsidP="00000000" w:rsidRDefault="00000000" w:rsidRPr="00000000" w14:paraId="000001CC">
      <w:pPr>
        <w:spacing w:after="200" w:lineRule="auto"/>
        <w:rPr>
          <w:sz w:val="24"/>
          <w:szCs w:val="24"/>
        </w:rPr>
      </w:pPr>
      <w:r w:rsidDel="00000000" w:rsidR="00000000" w:rsidRPr="00000000">
        <w:rPr>
          <w:color w:val="000000"/>
          <w:sz w:val="24"/>
          <w:szCs w:val="24"/>
          <w:rtl w:val="0"/>
        </w:rPr>
        <w:t xml:space="preserve">The variability in assessment design and reporting suggests an opportunity to support faculty with more explicit guidance and shared tools for assessing Quantitative Fluency. Several reports highlighted the need for more intentional integration of outcome language and a more consistent use of rubrics or performance criteria. Creating example assignments or scoring guides could help align assessment practices across disciplines and strengthen confidence in interpreting results.</w:t>
      </w:r>
      <w:r w:rsidDel="00000000" w:rsidR="00000000" w:rsidRPr="00000000">
        <w:rPr>
          <w:rtl w:val="0"/>
        </w:rPr>
      </w:r>
    </w:p>
    <w:p w:rsidR="00000000" w:rsidDel="00000000" w:rsidP="00000000" w:rsidRDefault="00000000" w:rsidRPr="00000000" w14:paraId="000001CD">
      <w:pPr>
        <w:pStyle w:val="Heading4"/>
        <w:spacing w:after="0" w:lineRule="auto"/>
        <w:rPr/>
      </w:pPr>
      <w:bookmarkStart w:colFirst="0" w:colLast="0" w:name="_rsfz8zio24l7" w:id="33"/>
      <w:bookmarkEnd w:id="33"/>
      <w:r w:rsidDel="00000000" w:rsidR="00000000" w:rsidRPr="00000000">
        <w:rPr>
          <w:b w:val="1"/>
          <w:bCs w:val="1"/>
          <w:rtl w:val="0"/>
        </w:rPr>
        <w:t xml:space="preserve">Next steps for monitoring and strengthening the assessment of this outcome</w:t>
      </w: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Next steps include encouraging faculty to reference specific components of the outcome when designing assessments, expanding the use of discipline-appropriate rubrics, and providing professional development on assessing reasoning and interpretation. Continued emphasis on precise alignment, consistent reporting, and the use of student performance data will help improve the quality and usefulness of future assessments.</w:t>
      </w:r>
    </w:p>
    <w:p w:rsidR="00000000" w:rsidDel="00000000" w:rsidP="00000000" w:rsidRDefault="00000000" w:rsidRPr="00000000" w14:paraId="000001CF">
      <w:pPr>
        <w:pStyle w:val="Heading3"/>
        <w:spacing w:after="0" w:lineRule="auto"/>
        <w:rPr/>
      </w:pPr>
      <w:bookmarkStart w:colFirst="0" w:colLast="0" w:name="_uzfgz2ergu41" w:id="34"/>
      <w:bookmarkEnd w:id="34"/>
      <w:r w:rsidDel="00000000" w:rsidR="00000000" w:rsidRPr="00000000">
        <w:rPr>
          <w:rtl w:val="0"/>
        </w:rPr>
        <w:t xml:space="preserve">II-5 Communication Fluency</w:t>
      </w:r>
    </w:p>
    <w:p w:rsidR="00000000" w:rsidDel="00000000" w:rsidP="00000000" w:rsidRDefault="00000000" w:rsidRPr="00000000" w14:paraId="000001D0">
      <w:pPr>
        <w:rPr>
          <w:sz w:val="24"/>
          <w:szCs w:val="24"/>
        </w:rPr>
      </w:pPr>
      <w:r w:rsidDel="00000000" w:rsidR="00000000" w:rsidRPr="00000000">
        <w:rPr>
          <w:color w:val="000000"/>
          <w:sz w:val="24"/>
          <w:szCs w:val="24"/>
          <w:rtl w:val="0"/>
        </w:rPr>
        <w:t xml:space="preserve">Describe the institution's approach to assessing GE SLO: Communication Fluency. Communication Fluency is defined as the ability to:</w:t>
      </w:r>
      <w:r w:rsidDel="00000000" w:rsidR="00000000" w:rsidRPr="00000000">
        <w:rPr>
          <w:sz w:val="24"/>
          <w:szCs w:val="24"/>
          <w:rtl w:val="0"/>
        </w:rPr>
        <w:t xml:space="preserve"> </w:t>
      </w:r>
    </w:p>
    <w:p w:rsidR="00000000" w:rsidDel="00000000" w:rsidP="00000000" w:rsidRDefault="00000000" w:rsidRPr="00000000" w14:paraId="000001D1">
      <w:pPr>
        <w:numPr>
          <w:ilvl w:val="0"/>
          <w:numId w:val="6"/>
        </w:numPr>
        <w:ind w:left="720" w:hanging="360"/>
        <w:rPr>
          <w:color w:val="000000"/>
          <w:sz w:val="24"/>
          <w:szCs w:val="24"/>
          <w:u w:val="none"/>
        </w:rPr>
      </w:pPr>
      <w:r w:rsidDel="00000000" w:rsidR="00000000" w:rsidRPr="00000000">
        <w:rPr>
          <w:color w:val="000000"/>
          <w:sz w:val="24"/>
          <w:szCs w:val="24"/>
          <w:rtl w:val="0"/>
        </w:rPr>
        <w:t xml:space="preserve">Construct coherent written or oral arguments for general and specific audiences</w:t>
      </w:r>
      <w:r w:rsidDel="00000000" w:rsidR="00000000" w:rsidRPr="00000000">
        <w:rPr>
          <w:rtl w:val="0"/>
        </w:rPr>
      </w:r>
    </w:p>
    <w:p w:rsidR="00000000" w:rsidDel="00000000" w:rsidP="00000000" w:rsidRDefault="00000000" w:rsidRPr="00000000" w14:paraId="000001D2">
      <w:pPr>
        <w:numPr>
          <w:ilvl w:val="0"/>
          <w:numId w:val="6"/>
        </w:numPr>
        <w:ind w:left="720" w:hanging="360"/>
        <w:rPr>
          <w:color w:val="000000"/>
          <w:sz w:val="24"/>
          <w:szCs w:val="24"/>
          <w:u w:val="none"/>
        </w:rPr>
      </w:pPr>
      <w:r w:rsidDel="00000000" w:rsidR="00000000" w:rsidRPr="00000000">
        <w:rPr>
          <w:color w:val="000000"/>
          <w:sz w:val="24"/>
          <w:szCs w:val="24"/>
          <w:rtl w:val="0"/>
        </w:rPr>
        <w:t xml:space="preserve">Construct coherent written or oral narratives for general and specific audiences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D3">
      <w:pPr>
        <w:numPr>
          <w:ilvl w:val="0"/>
          <w:numId w:val="6"/>
        </w:numPr>
        <w:ind w:left="720" w:hanging="360"/>
        <w:rPr>
          <w:color w:val="000000"/>
          <w:sz w:val="24"/>
          <w:szCs w:val="24"/>
          <w:u w:val="none"/>
        </w:rPr>
      </w:pPr>
      <w:r w:rsidDel="00000000" w:rsidR="00000000" w:rsidRPr="00000000">
        <w:rPr>
          <w:color w:val="000000"/>
          <w:sz w:val="24"/>
          <w:szCs w:val="24"/>
          <w:rtl w:val="0"/>
        </w:rPr>
        <w:t xml:space="preserve">Collaborate with others to advance an argument or design an approach to resolving a social, personal, or ethical dilemma.</w:t>
      </w:r>
      <w:r w:rsidDel="00000000" w:rsidR="00000000" w:rsidRPr="00000000">
        <w:rPr>
          <w:rtl w:val="0"/>
        </w:rPr>
      </w:r>
    </w:p>
    <w:p w:rsidR="00000000" w:rsidDel="00000000" w:rsidP="00000000" w:rsidRDefault="00000000" w:rsidRPr="00000000" w14:paraId="000001D4">
      <w:pPr>
        <w:numPr>
          <w:ilvl w:val="0"/>
          <w:numId w:val="6"/>
        </w:numPr>
        <w:spacing w:after="200" w:lineRule="auto"/>
        <w:ind w:left="720" w:hanging="360"/>
        <w:rPr>
          <w:color w:val="000000"/>
          <w:sz w:val="24"/>
          <w:szCs w:val="24"/>
          <w:u w:val="none"/>
        </w:rPr>
      </w:pPr>
      <w:r w:rsidDel="00000000" w:rsidR="00000000" w:rsidRPr="00000000">
        <w:rPr>
          <w:color w:val="000000"/>
          <w:sz w:val="24"/>
          <w:szCs w:val="24"/>
          <w:rtl w:val="0"/>
        </w:rPr>
        <w:t xml:space="preserve">Use technology to enhance or integrate information in support of a communication goal.</w:t>
      </w:r>
      <w:r w:rsidDel="00000000" w:rsidR="00000000" w:rsidRPr="00000000">
        <w:rPr>
          <w:rtl w:val="0"/>
        </w:rPr>
      </w:r>
    </w:p>
    <w:p w:rsidR="00000000" w:rsidDel="00000000" w:rsidP="00000000" w:rsidRDefault="00000000" w:rsidRPr="00000000" w14:paraId="000001D5">
      <w:pPr>
        <w:pStyle w:val="Heading4"/>
        <w:spacing w:after="0" w:lineRule="auto"/>
        <w:rPr/>
      </w:pPr>
      <w:bookmarkStart w:colFirst="0" w:colLast="0" w:name="_spyvfr43zohh" w:id="35"/>
      <w:bookmarkEnd w:id="35"/>
      <w:r w:rsidDel="00000000" w:rsidR="00000000" w:rsidRPr="00000000">
        <w:rPr>
          <w:rtl w:val="0"/>
        </w:rPr>
        <w:t xml:space="preserve">Institutional questions and alignment of course assessments with the outcome and its indicators</w:t>
      </w:r>
    </w:p>
    <w:p w:rsidR="00000000" w:rsidDel="00000000" w:rsidP="00000000" w:rsidRDefault="00000000" w:rsidRPr="00000000" w14:paraId="000001D6">
      <w:pPr>
        <w:spacing w:after="200" w:lineRule="auto"/>
        <w:rPr>
          <w:sz w:val="24"/>
          <w:szCs w:val="24"/>
        </w:rPr>
      </w:pPr>
      <w:r w:rsidDel="00000000" w:rsidR="00000000" w:rsidRPr="00000000">
        <w:rPr>
          <w:sz w:val="24"/>
          <w:szCs w:val="24"/>
          <w:rtl w:val="0"/>
        </w:rPr>
        <w:t xml:space="preserve">Faculty submitted course-level assessments intended to measure Communication Fluency, and most reports included language that aligns with at least one of the four defined indicators. Nine of the seventeen reports clearly described assignments such as essays, oral presentations, collaborative activities, or technology-enhanced communication tasks that support one or more aspects of the outcome. Indicator B, which focuses on constructing coherent written or oral narratives, appeared most frequently. Courses such as SPAN 1113, DRAM 2843, and ART 2023 included narrative writing assignments and critiques that addressed this skill. Indicators A and C were also evident in several courses. DRAM 2763 and LIBM 2601, for example, incorporated structured discussions, group projects, and peer interactions that reflect argument development and collaboration. Indicator D was addressed in courses such as LIBM 2601, LIBM 4611, and NUTR 3653 through the use of digital tools like slide presentations and source integration platforms. Four courses, including SPAN 1113, DRAM 2763, ART 2023, and LIBM 2601, referenced two or more indicators within their assessment activities. While no course addressed all four indicators in a single assignment, the collective set of reports demonstrates broad engagement with the outcome. Continued use of assignment descriptions that incorporate the outcome language will help clarify alignment and support consistent interpretation across the curriculum.</w:t>
      </w:r>
    </w:p>
    <w:p w:rsidR="00000000" w:rsidDel="00000000" w:rsidP="00000000" w:rsidRDefault="00000000" w:rsidRPr="00000000" w14:paraId="000001D7">
      <w:pPr>
        <w:pStyle w:val="Heading4"/>
        <w:spacing w:after="0" w:lineRule="auto"/>
        <w:rPr/>
      </w:pPr>
      <w:bookmarkStart w:colFirst="0" w:colLast="0" w:name="_cnypc5jhm1ot" w:id="36"/>
      <w:bookmarkEnd w:id="36"/>
      <w:r w:rsidDel="00000000" w:rsidR="00000000" w:rsidRPr="00000000">
        <w:rPr>
          <w:rtl w:val="0"/>
        </w:rPr>
        <w:t xml:space="preserve">Assessment methods used across courses aligned to the outcome</w:t>
      </w:r>
    </w:p>
    <w:p w:rsidR="00000000" w:rsidDel="00000000" w:rsidP="00000000" w:rsidRDefault="00000000" w:rsidRPr="00000000" w14:paraId="000001D8">
      <w:pPr>
        <w:spacing w:after="200" w:lineRule="auto"/>
        <w:rPr>
          <w:sz w:val="24"/>
          <w:szCs w:val="24"/>
        </w:rPr>
      </w:pPr>
      <w:r w:rsidDel="00000000" w:rsidR="00000000" w:rsidRPr="00000000">
        <w:rPr>
          <w:sz w:val="24"/>
          <w:szCs w:val="24"/>
          <w:rtl w:val="0"/>
        </w:rPr>
        <w:t xml:space="preserve">Faculty used a range of direct assessment methods to evaluate Communication Fluency across general education courses. Most commonly, students were asked to complete written assignments such as essays, critiques, or short papers that addressed either argument or narrative construction. Courses like ART 2023, DRAM 2843, and ENGL 2113 relied on these written responses to assess clarity, organization, and audience awareness. Oral communication was assessed in several courses through live or recorded presentations, speeches, or performance reviews, particularly in DRAM 2763, SPED 3313, and HED 1113. In courses where collaboration was emphasized, such as LIBM 2601 and SOC 1113, students participated in group projects, peer reviews, or structured discussions designed to support shared communication goals. Technology integration was observed in assignments that required students to create slide presentations, incorporate research sources, or communicate through digital platforms, especially in LIBM 2601, LIBM 4611, and NUTR 3653. In language courses, including SPAN 1113 and CHER 1113, writing samples and oral tasks were evaluated using ACTFL-aligned rubrics to assess narrative and audience-appropriate expression. Across courses, assessment tools included scoring rubrics, instructor-designed performance criteria, and in some cases, alignment with national communication standards. These methods allowed instructors to evaluate both the content and the delivery of communication within discipline-specific contexts.</w:t>
      </w:r>
    </w:p>
    <w:p w:rsidR="00000000" w:rsidDel="00000000" w:rsidP="00000000" w:rsidRDefault="00000000" w:rsidRPr="00000000" w14:paraId="000001D9">
      <w:pPr>
        <w:pStyle w:val="Heading4"/>
        <w:spacing w:after="0" w:lineRule="auto"/>
        <w:rPr/>
      </w:pPr>
      <w:bookmarkStart w:colFirst="0" w:colLast="0" w:name="_t9lvv7g36x5y" w:id="37"/>
      <w:bookmarkEnd w:id="37"/>
      <w:r w:rsidDel="00000000" w:rsidR="00000000" w:rsidRPr="00000000">
        <w:rPr>
          <w:rtl w:val="0"/>
        </w:rPr>
        <w:t xml:space="preserve">Performance outcomes as reported in course-level assessments</w:t>
      </w:r>
    </w:p>
    <w:p w:rsidR="00000000" w:rsidDel="00000000" w:rsidP="00000000" w:rsidRDefault="00000000" w:rsidRPr="00000000" w14:paraId="000001DA">
      <w:pPr>
        <w:spacing w:after="200" w:lineRule="auto"/>
        <w:rPr>
          <w:sz w:val="24"/>
          <w:szCs w:val="24"/>
        </w:rPr>
      </w:pPr>
      <w:r w:rsidDel="00000000" w:rsidR="00000000" w:rsidRPr="00000000">
        <w:rPr>
          <w:color w:val="000000"/>
          <w:sz w:val="24"/>
          <w:szCs w:val="24"/>
          <w:rtl w:val="0"/>
        </w:rPr>
        <w:t xml:space="preserve">Performance outcomes reported in the course-level assessments show that most students met or exceeded expectations related to Communication Fluency. Several courses provided clear numerical data or descriptive summaries of student achievement. For example, SPAN 1113 reported that 121 out of 125 students were assessed using a writing task aligned with the ACTFL proficiency guidelines, with 97 percent of students exceeding expectations. CHER 1113 reported that 72 percent of students scored 70 percent or higher on a cumulative final exam that assessed language production and comprehension. In ART 2023, initial assessments revealed that 86 percent of students scored at a failing level at the beginning of the course, but by the end of the term, 78 percent earned an A or B on the final writing assignment, which was graded using the same rubric. DRAM 2763 reported that students in both face-to-face and online sections performed similarly on written critiques and oral presentations, with most meeting or exceeding the benchmark expectations. LIBM 2601 and LIBM 4611 also indicated that students generally met expectations on assignments involving the integration of technology in communication, although faculty noted areas for improvement in the depth of analysis. Overall, the reported outcomes suggest that students are demonstrating competency in key areas of Communication Fluency, particularly in narrative construction and oral or written clarity. While not all </w:t>
      </w:r>
      <w:r w:rsidDel="00000000" w:rsidR="00000000" w:rsidRPr="00000000">
        <w:rPr>
          <w:sz w:val="24"/>
          <w:szCs w:val="24"/>
          <w:rtl w:val="0"/>
        </w:rPr>
        <w:t xml:space="preserve">courses provided disaggregated data, the available results reflect positive trends in student performance.</w:t>
      </w:r>
    </w:p>
    <w:p w:rsidR="00000000" w:rsidDel="00000000" w:rsidP="00000000" w:rsidRDefault="00000000" w:rsidRPr="00000000" w14:paraId="000001DB">
      <w:pPr>
        <w:pStyle w:val="Heading4"/>
        <w:spacing w:after="0" w:lineRule="auto"/>
        <w:rPr/>
      </w:pPr>
      <w:bookmarkStart w:colFirst="0" w:colLast="0" w:name="_2gj8meq1et8d" w:id="38"/>
      <w:bookmarkEnd w:id="38"/>
      <w:r w:rsidDel="00000000" w:rsidR="00000000" w:rsidRPr="00000000">
        <w:rPr>
          <w:b w:val="1"/>
          <w:bCs w:val="1"/>
          <w:rtl w:val="0"/>
        </w:rPr>
        <w:t xml:space="preserve">Findings from faculty analysis of assessment results</w:t>
      </w:r>
      <w:r w:rsidDel="00000000" w:rsidR="00000000" w:rsidRPr="00000000">
        <w:rPr>
          <w:rtl w:val="0"/>
        </w:rPr>
        <w:t xml:space="preserve"> </w:t>
      </w:r>
    </w:p>
    <w:p w:rsidR="00000000" w:rsidDel="00000000" w:rsidP="00000000" w:rsidRDefault="00000000" w:rsidRPr="00000000" w14:paraId="000001DC">
      <w:pPr>
        <w:spacing w:after="200" w:lineRule="auto"/>
        <w:rPr>
          <w:sz w:val="24"/>
          <w:szCs w:val="24"/>
        </w:rPr>
      </w:pPr>
      <w:r w:rsidDel="00000000" w:rsidR="00000000" w:rsidRPr="00000000">
        <w:rPr>
          <w:sz w:val="24"/>
          <w:szCs w:val="24"/>
          <w:rtl w:val="0"/>
        </w:rPr>
        <w:t xml:space="preserve">Faculty analysis of assessment results highlighted several consistent themes related to student strengths and areas for growth in Communication Fluency. In many reports, instructors noted that students demonstrated clear improvement over the course of the semester, particularly when assignments were scaffolded and expectations were communicated through detailed rubrics. In ART 2023, for example, faculty observed that although most students struggled with the initial writing assignment, their final submissions showed significant gains in organization, clarity, and critical thinking. In SPAN 1113, instructors attributed strong student performance to alignment with national proficiency guidelines and emphasized the value of structured writing prompts in helping students produce coherent narratives. Faculty teaching DRAM 2763 and other performance-based courses remarked on students’ ability to express ideas orally and collaborate effectively when supported through group discussions or project-based tasks. In courses that included a digital component, such as LIBM 2601 and NUTR 3653, faculty acknowledged that students generally succeeded in using technology for communication but suggested that some assignments could better encourage meaningful integration of visual and informational elements. Across disciplines, faculty expressed confidence in the assessment tools used and indicated that the results aligned with their observations of student work. Several instructors noted that targeted adjustments to assignment design, instructional materials, and support strategies had a positive impact on student outcomes.</w:t>
      </w:r>
    </w:p>
    <w:p w:rsidR="00000000" w:rsidDel="00000000" w:rsidP="00000000" w:rsidRDefault="00000000" w:rsidRPr="00000000" w14:paraId="000001DD">
      <w:pPr>
        <w:pStyle w:val="Heading4"/>
        <w:spacing w:after="0" w:lineRule="auto"/>
        <w:rPr/>
      </w:pPr>
      <w:bookmarkStart w:colFirst="0" w:colLast="0" w:name="_62wpdqn3rynk" w:id="39"/>
      <w:bookmarkEnd w:id="39"/>
      <w:r w:rsidDel="00000000" w:rsidR="00000000" w:rsidRPr="00000000">
        <w:rPr>
          <w:rtl w:val="0"/>
        </w:rPr>
        <w:t xml:space="preserve">Institutional opportunities identified through closing the loop processes</w:t>
      </w:r>
    </w:p>
    <w:p w:rsidR="00000000" w:rsidDel="00000000" w:rsidP="00000000" w:rsidRDefault="00000000" w:rsidRPr="00000000" w14:paraId="000001DE">
      <w:pPr>
        <w:spacing w:after="200" w:lineRule="auto"/>
        <w:rPr>
          <w:sz w:val="24"/>
          <w:szCs w:val="24"/>
        </w:rPr>
      </w:pPr>
      <w:r w:rsidDel="00000000" w:rsidR="00000000" w:rsidRPr="00000000">
        <w:rPr>
          <w:color w:val="000000"/>
          <w:sz w:val="24"/>
          <w:szCs w:val="24"/>
          <w:rtl w:val="0"/>
        </w:rPr>
        <w:t xml:space="preserve">The course-level reports identified several institutional opportunities to strengthen student learning and assessment of Communication Fluency through ongoing closing-the-loop processes. Faculty across multiple disciplines emphasized the value of refining assignment prompts to target specific indicators of the outcome more clearly. For example, instructors in LIBM 2601 and NUTR 3653 suggested that prompts could be redesigned to encourage deeper integration of technology and visual information, helping students move beyond basic formatting toward more purposeful communication. In DRAM 2763, the faculty proposed exploring options for streamed or recorded performances in online sections to ensure equitable opportunities for oral communication assessment. Language faculty in SPAN 1113 and CHER 1113 recommended continued alignment with national proficiency standards and expressed interest in expanding review materials and early interventions for students who may be at risk of falling below benchmark. Several reports also noted that group work and collaborative projects could benefit from clearer expectations, role definitions, and peer feedback mechanisms to improve the consistency of outcomes related to Indicator C. Across courses, instructors expressed interest in using past assessment data to inform curriculum changes, revise rubrics, and adjust instructional strategies. These actions demonstrate a shared commitment to enhancing both the quality of student communication and the clarity of assessment practices.</w:t>
      </w:r>
      <w:r w:rsidDel="00000000" w:rsidR="00000000" w:rsidRPr="00000000">
        <w:rPr>
          <w:rtl w:val="0"/>
        </w:rPr>
      </w:r>
    </w:p>
    <w:p w:rsidR="00000000" w:rsidDel="00000000" w:rsidP="00000000" w:rsidRDefault="00000000" w:rsidRPr="00000000" w14:paraId="000001DF">
      <w:pPr>
        <w:pStyle w:val="Heading4"/>
        <w:spacing w:after="0" w:lineRule="auto"/>
        <w:rPr/>
      </w:pPr>
      <w:bookmarkStart w:colFirst="0" w:colLast="0" w:name="_7git0xpn8q8a" w:id="40"/>
      <w:bookmarkEnd w:id="40"/>
      <w:r w:rsidDel="00000000" w:rsidR="00000000" w:rsidRPr="00000000">
        <w:rPr>
          <w:rtl w:val="0"/>
        </w:rPr>
        <w:t xml:space="preserve">Next steps for monitoring and strengthening assessment of this outcome</w:t>
      </w:r>
    </w:p>
    <w:p w:rsidR="00000000" w:rsidDel="00000000" w:rsidP="00000000" w:rsidRDefault="00000000" w:rsidRPr="00000000" w14:paraId="000001E0">
      <w:pPr>
        <w:spacing w:after="0" w:lineRule="auto"/>
        <w:rPr/>
      </w:pPr>
      <w:r w:rsidDel="00000000" w:rsidR="00000000" w:rsidRPr="00000000">
        <w:rPr>
          <w:rtl w:val="0"/>
        </w:rPr>
        <w:t xml:space="preserve">Next steps include encouraging faculty to reference the specific components of the Communication Fluency outcome when designing assignments and selecting assessment methods. Expanding the use of discipline-appropriate rubrics that are clearly aligned to the outcome will support more consistent scoring across courses. Providing professional development focused on evaluating communication through reasoning, organization, audience awareness, and technology use will further strengthen assessment practices. Continued emphasis on precise alignment, clear reporting, and regular use of student performance data will improve the quality, comparability, and usefulness of future assessments.</w:t>
      </w:r>
    </w:p>
    <w:p w:rsidR="00000000" w:rsidDel="00000000" w:rsidP="00000000" w:rsidRDefault="00000000" w:rsidRPr="00000000" w14:paraId="000001E1">
      <w:pPr>
        <w:pStyle w:val="Heading3"/>
        <w:spacing w:after="0" w:lineRule="auto"/>
        <w:rPr/>
      </w:pPr>
      <w:bookmarkStart w:colFirst="0" w:colLast="0" w:name="_cgvhxk9qb3jd" w:id="41"/>
      <w:bookmarkEnd w:id="41"/>
      <w:r w:rsidDel="00000000" w:rsidR="00000000" w:rsidRPr="00000000">
        <w:rPr>
          <w:rtl w:val="0"/>
        </w:rPr>
        <w:t xml:space="preserve">II-6 Cultural Foundations</w:t>
      </w:r>
    </w:p>
    <w:p w:rsidR="00000000" w:rsidDel="00000000" w:rsidP="00000000" w:rsidRDefault="00000000" w:rsidRPr="00000000" w14:paraId="000001E2">
      <w:pPr>
        <w:rPr>
          <w:sz w:val="24"/>
          <w:szCs w:val="24"/>
        </w:rPr>
      </w:pPr>
      <w:r w:rsidDel="00000000" w:rsidR="00000000" w:rsidRPr="00000000">
        <w:rPr>
          <w:color w:val="000000"/>
          <w:sz w:val="24"/>
          <w:szCs w:val="24"/>
          <w:rtl w:val="0"/>
        </w:rPr>
        <w:t xml:space="preserve">Describe the institution's approach to assessing GE SLO: Cultural Foundations. Cultural Foundations is defined as the ability to:</w:t>
      </w:r>
      <w:r w:rsidDel="00000000" w:rsidR="00000000" w:rsidRPr="00000000">
        <w:rPr>
          <w:sz w:val="24"/>
          <w:szCs w:val="24"/>
          <w:rtl w:val="0"/>
        </w:rPr>
        <w:t xml:space="preserve"> </w:t>
      </w:r>
    </w:p>
    <w:p w:rsidR="00000000" w:rsidDel="00000000" w:rsidP="00000000" w:rsidRDefault="00000000" w:rsidRPr="00000000" w14:paraId="000001E3">
      <w:pPr>
        <w:numPr>
          <w:ilvl w:val="0"/>
          <w:numId w:val="4"/>
        </w:numPr>
        <w:ind w:left="720" w:hanging="360"/>
        <w:rPr>
          <w:sz w:val="24"/>
          <w:szCs w:val="24"/>
          <w:u w:val="none"/>
        </w:rPr>
      </w:pPr>
      <w:r w:rsidDel="00000000" w:rsidR="00000000" w:rsidRPr="00000000">
        <w:rPr>
          <w:color w:val="000000"/>
          <w:sz w:val="24"/>
          <w:szCs w:val="24"/>
          <w:rtl w:val="0"/>
        </w:rPr>
        <w:t xml:space="preserve">Analyze the advantages and challenges of a culturally diverse society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4">
      <w:pPr>
        <w:numPr>
          <w:ilvl w:val="0"/>
          <w:numId w:val="4"/>
        </w:numPr>
        <w:ind w:left="720" w:hanging="360"/>
        <w:rPr>
          <w:sz w:val="24"/>
          <w:szCs w:val="24"/>
          <w:u w:val="none"/>
        </w:rPr>
      </w:pPr>
      <w:r w:rsidDel="00000000" w:rsidR="00000000" w:rsidRPr="00000000">
        <w:rPr>
          <w:color w:val="000000"/>
          <w:sz w:val="24"/>
          <w:szCs w:val="24"/>
          <w:rtl w:val="0"/>
        </w:rPr>
        <w:t xml:space="preserve">Identify the connectedness of culture and society to support global awareness</w:t>
      </w:r>
      <w:r w:rsidDel="00000000" w:rsidR="00000000" w:rsidRPr="00000000">
        <w:rPr>
          <w:rtl w:val="0"/>
        </w:rPr>
      </w:r>
    </w:p>
    <w:p w:rsidR="00000000" w:rsidDel="00000000" w:rsidP="00000000" w:rsidRDefault="00000000" w:rsidRPr="00000000" w14:paraId="000001E5">
      <w:pPr>
        <w:numPr>
          <w:ilvl w:val="0"/>
          <w:numId w:val="4"/>
        </w:numPr>
        <w:spacing w:after="200" w:lineRule="auto"/>
        <w:ind w:left="720" w:hanging="360"/>
        <w:rPr>
          <w:sz w:val="24"/>
          <w:szCs w:val="24"/>
          <w:u w:val="none"/>
        </w:rPr>
      </w:pPr>
      <w:r w:rsidDel="00000000" w:rsidR="00000000" w:rsidRPr="00000000">
        <w:rPr>
          <w:color w:val="000000"/>
          <w:sz w:val="24"/>
          <w:szCs w:val="24"/>
          <w:rtl w:val="0"/>
        </w:rPr>
        <w:t xml:space="preserve">Discuss how culture influences one’s perspective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6">
      <w:pPr>
        <w:pStyle w:val="Heading4"/>
        <w:spacing w:after="0" w:lineRule="auto"/>
        <w:rPr/>
      </w:pPr>
      <w:bookmarkStart w:colFirst="0" w:colLast="0" w:name="_7teggjyar437" w:id="42"/>
      <w:bookmarkEnd w:id="42"/>
      <w:r w:rsidDel="00000000" w:rsidR="00000000" w:rsidRPr="00000000">
        <w:rPr>
          <w:b w:val="1"/>
          <w:bCs w:val="1"/>
          <w:rtl w:val="0"/>
        </w:rPr>
        <w:t xml:space="preserve">Institutional questions and alignment of course assessments with the outcome and its indicators</w:t>
      </w:r>
      <w:r w:rsidDel="00000000" w:rsidR="00000000" w:rsidRPr="00000000">
        <w:rPr>
          <w:rtl w:val="0"/>
        </w:rPr>
      </w:r>
    </w:p>
    <w:p w:rsidR="00000000" w:rsidDel="00000000" w:rsidP="00000000" w:rsidRDefault="00000000" w:rsidRPr="00000000" w14:paraId="000001E7">
      <w:pPr>
        <w:spacing w:after="200" w:lineRule="auto"/>
        <w:rPr/>
      </w:pPr>
      <w:r w:rsidDel="00000000" w:rsidR="00000000" w:rsidRPr="00000000">
        <w:rPr>
          <w:rtl w:val="0"/>
        </w:rPr>
        <w:t xml:space="preserve">Across the general education curriculum, course-level assessments consistently align with the Cultural Foundations outcome. Faculty selected this outcome intentionally for courses in disciplines where culture, identity, communication, and societal systems are central to learning objectives. Courses such as history, psychology, sociology, communication, geography, and Indigenous studies directly address the outcome's three indicators, often incorporating all three within a single course. Faculty alignments typically match course-level outcomes to one or more of the Cultural Foundations indicators, ensuring students have multiple and varied opportunities to engage with cultural diversity, global awareness, and personal perspective.</w:t>
      </w:r>
    </w:p>
    <w:p w:rsidR="00000000" w:rsidDel="00000000" w:rsidP="00000000" w:rsidRDefault="00000000" w:rsidRPr="00000000" w14:paraId="000001E8">
      <w:pPr>
        <w:pStyle w:val="Heading4"/>
        <w:spacing w:after="0" w:lineRule="auto"/>
        <w:rPr/>
      </w:pPr>
      <w:bookmarkStart w:colFirst="0" w:colLast="0" w:name="_llosafs2w" w:id="43"/>
      <w:bookmarkEnd w:id="43"/>
      <w:r w:rsidDel="00000000" w:rsidR="00000000" w:rsidRPr="00000000">
        <w:rPr>
          <w:rtl w:val="0"/>
        </w:rPr>
        <w:t xml:space="preserve">Assessment methods used across courses aligned to the outcome</w:t>
      </w:r>
    </w:p>
    <w:p w:rsidR="00000000" w:rsidDel="00000000" w:rsidP="00000000" w:rsidRDefault="00000000" w:rsidRPr="00000000" w14:paraId="000001E9">
      <w:pPr>
        <w:spacing w:after="200" w:lineRule="auto"/>
        <w:rPr>
          <w:sz w:val="24"/>
          <w:szCs w:val="24"/>
        </w:rPr>
      </w:pPr>
      <w:r w:rsidDel="00000000" w:rsidR="00000000" w:rsidRPr="00000000">
        <w:rPr>
          <w:color w:val="000000"/>
          <w:sz w:val="24"/>
          <w:szCs w:val="24"/>
          <w:rtl w:val="0"/>
        </w:rPr>
        <w:t xml:space="preserve">Faculty employed a range of direct assessment methods aligned with the Cultural Foundations outcome, reflecting the diverse disciplinary approaches represented. Standard tools included objective exams, reflective journals, essays, research papers, and service-learning projects. Many courses used mixed-format assessments that combined multiple-choice or true/false questions with open-ended responses to assess both foundational knowledge and critical thinking about cultural issues. In writing-intensive and discussion-based courses, students engaged in interpretive analysis and personal reflection, enabling faculty to assess their ability to examine diverse perspectives, articulate the cultural influences on their worldview, and connect historical and contemporary cultural dynamics. These methods were well matched to the nature of the outcome.</w:t>
      </w:r>
      <w:r w:rsidDel="00000000" w:rsidR="00000000" w:rsidRPr="00000000">
        <w:rPr>
          <w:rtl w:val="0"/>
        </w:rPr>
      </w:r>
    </w:p>
    <w:p w:rsidR="00000000" w:rsidDel="00000000" w:rsidP="00000000" w:rsidRDefault="00000000" w:rsidRPr="00000000" w14:paraId="000001EA">
      <w:pPr>
        <w:pStyle w:val="Heading4"/>
        <w:spacing w:after="0" w:lineRule="auto"/>
        <w:rPr/>
      </w:pPr>
      <w:bookmarkStart w:colFirst="0" w:colLast="0" w:name="_ckaclxeo7k5c" w:id="44"/>
      <w:bookmarkEnd w:id="44"/>
      <w:r w:rsidDel="00000000" w:rsidR="00000000" w:rsidRPr="00000000">
        <w:rPr>
          <w:rtl w:val="0"/>
        </w:rPr>
        <w:t xml:space="preserve">Performance outcomes as reported in course-level assessments</w:t>
      </w:r>
    </w:p>
    <w:p w:rsidR="00000000" w:rsidDel="00000000" w:rsidP="00000000" w:rsidRDefault="00000000" w:rsidRPr="00000000" w14:paraId="000001EB">
      <w:pPr>
        <w:spacing w:after="200" w:lineRule="auto"/>
        <w:rPr>
          <w:b w:val="1"/>
          <w:bCs w:val="1"/>
        </w:rPr>
      </w:pPr>
      <w:r w:rsidDel="00000000" w:rsidR="00000000" w:rsidRPr="00000000">
        <w:rPr>
          <w:color w:val="000000"/>
          <w:sz w:val="24"/>
          <w:szCs w:val="24"/>
          <w:rtl w:val="0"/>
        </w:rPr>
        <w:t xml:space="preserve">Student performance on assessments aligned to the Cultural Foundations outcome was consistently strong across courses. The majority of reports indicated that between 80% and 95% of students met or exceeded established performance targets. These results were stable across instructional formats, including face-to-face, blended, and online sections. In several courses, faculty noted that students demonstrated particular strength in identifying cultural perspectives, recognizing social and historical influences on identity, and articulating how culture shapes both personal views and societal structures. Overall, the assessment results suggest that students are achieving the intended learning outcomes related to cultural awareness and understanding.</w:t>
      </w:r>
      <w:r w:rsidDel="00000000" w:rsidR="00000000" w:rsidRPr="00000000">
        <w:rPr>
          <w:rtl w:val="0"/>
        </w:rPr>
      </w:r>
    </w:p>
    <w:p w:rsidR="00000000" w:rsidDel="00000000" w:rsidP="00000000" w:rsidRDefault="00000000" w:rsidRPr="00000000" w14:paraId="000001EC">
      <w:pPr>
        <w:pStyle w:val="Heading4"/>
        <w:spacing w:after="0" w:lineRule="auto"/>
        <w:rPr/>
      </w:pPr>
      <w:bookmarkStart w:colFirst="0" w:colLast="0" w:name="_a2m0ra6w0k76" w:id="45"/>
      <w:bookmarkEnd w:id="45"/>
      <w:r w:rsidDel="00000000" w:rsidR="00000000" w:rsidRPr="00000000">
        <w:rPr>
          <w:rtl w:val="0"/>
        </w:rPr>
        <w:t xml:space="preserve">Findings from faculty analysis of assessment results</w:t>
      </w:r>
    </w:p>
    <w:p w:rsidR="00000000" w:rsidDel="00000000" w:rsidP="00000000" w:rsidRDefault="00000000" w:rsidRPr="00000000" w14:paraId="000001ED">
      <w:pPr>
        <w:rPr/>
      </w:pPr>
      <w:r w:rsidDel="00000000" w:rsidR="00000000" w:rsidRPr="00000000">
        <w:rPr>
          <w:color w:val="000000"/>
          <w:sz w:val="24"/>
          <w:szCs w:val="24"/>
          <w:rtl w:val="0"/>
        </w:rPr>
        <w:t xml:space="preserve">Faculty analysis of the assessment data revealed broad satisfaction with student achievement and the appropriateness of the assessment tools used. In most cases, instructors noted that students were not only meeting performance expectations but also demonstrating growth in their ability to engage with culturally complex topics. Several faculty identified increased student engagement and deeper discussion of cultural issues as evidence of successful learning. Where pre- and post-test formats were used, results showed measurable improvement over the term. Faculty agreed that the assessments provided valid insights into student learning, and they affirmed that the outcomes were well integrated into course content and pedagogy.</w:t>
      </w:r>
      <w:r w:rsidDel="00000000" w:rsidR="00000000" w:rsidRPr="00000000">
        <w:rPr>
          <w:rtl w:val="0"/>
        </w:rPr>
      </w:r>
    </w:p>
    <w:p w:rsidR="00000000" w:rsidDel="00000000" w:rsidP="00000000" w:rsidRDefault="00000000" w:rsidRPr="00000000" w14:paraId="000001EE">
      <w:pPr>
        <w:pStyle w:val="Heading4"/>
        <w:spacing w:after="0" w:before="200" w:lineRule="auto"/>
        <w:rPr/>
      </w:pPr>
      <w:bookmarkStart w:colFirst="0" w:colLast="0" w:name="_ax1emspm84nx" w:id="46"/>
      <w:bookmarkEnd w:id="46"/>
      <w:r w:rsidDel="00000000" w:rsidR="00000000" w:rsidRPr="00000000">
        <w:rPr>
          <w:rtl w:val="0"/>
        </w:rPr>
        <w:t xml:space="preserve">Institutional opportunities identified through closing the loop processes</w:t>
      </w:r>
    </w:p>
    <w:p w:rsidR="00000000" w:rsidDel="00000000" w:rsidP="00000000" w:rsidRDefault="00000000" w:rsidRPr="00000000" w14:paraId="000001EF">
      <w:pPr>
        <w:rPr/>
      </w:pPr>
      <w:r w:rsidDel="00000000" w:rsidR="00000000" w:rsidRPr="00000000">
        <w:rPr>
          <w:color w:val="000000"/>
          <w:sz w:val="24"/>
          <w:szCs w:val="24"/>
          <w:rtl w:val="0"/>
        </w:rPr>
        <w:t xml:space="preserve">Through closing the loop processes, faculty identified several opportunities to enhance the impact of Cultural Foundations learning. One recurring theme was the need to increase student exposure to contemporary cultural issues beyond historical or theoretical frameworks. Instructors in several disciplines expressed interest in incorporating more applied or experiential learning, such as community engagement, case studies, or analysis of current events. Others noted a desire to scaffold cultural concepts better, earlier in the semester to support deeper analysis in later assignments. These insights present opportunities to further integrate cultural awareness into active learning strategies and to foster sustained reflection on global and societal connections.</w:t>
      </w:r>
      <w:r w:rsidDel="00000000" w:rsidR="00000000" w:rsidRPr="00000000">
        <w:rPr>
          <w:rtl w:val="0"/>
        </w:rPr>
      </w:r>
    </w:p>
    <w:p w:rsidR="00000000" w:rsidDel="00000000" w:rsidP="00000000" w:rsidRDefault="00000000" w:rsidRPr="00000000" w14:paraId="000001F0">
      <w:pPr>
        <w:pStyle w:val="Heading4"/>
        <w:spacing w:after="0" w:before="200" w:lineRule="auto"/>
        <w:rPr/>
      </w:pPr>
      <w:bookmarkStart w:colFirst="0" w:colLast="0" w:name="_t9ypj9qs7s70" w:id="47"/>
      <w:bookmarkEnd w:id="47"/>
      <w:r w:rsidDel="00000000" w:rsidR="00000000" w:rsidRPr="00000000">
        <w:rPr>
          <w:rtl w:val="0"/>
        </w:rPr>
        <w:t xml:space="preserve">Next steps for monitoring and strengthening assessment of this outcome</w:t>
      </w:r>
    </w:p>
    <w:p w:rsidR="00000000" w:rsidDel="00000000" w:rsidP="00000000" w:rsidRDefault="00000000" w:rsidRPr="00000000" w14:paraId="000001F1">
      <w:pPr>
        <w:rPr>
          <w:sz w:val="24"/>
          <w:szCs w:val="24"/>
        </w:rPr>
      </w:pPr>
      <w:r w:rsidDel="00000000" w:rsidR="00000000" w:rsidRPr="00000000">
        <w:rPr>
          <w:color w:val="000000"/>
          <w:sz w:val="24"/>
          <w:szCs w:val="24"/>
          <w:rtl w:val="0"/>
        </w:rPr>
        <w:t xml:space="preserve">To strengthen future assessment of the Cultural Foundations outcome, faculty plan to refine rubrics, increase consistency in performance targets across modalities, and expand opportunities for student reflection. Several departments plan to revisit course-level learning outcomes to ensure tighter alignment with institutional indicators, particularly for courses with high enrollment or multiple sections. There is also interest in developing shared prompts or artifacts that can be used across disciplines to allow for more comparative analysis. Ongoing support for faculty dialogue and cross-departmental calibration will be essential to sustaining a coherent and meaningful assessment of how students engage with cultural diversity, global awareness, and personal perspectives.</w:t>
      </w:r>
      <w:r w:rsidDel="00000000" w:rsidR="00000000" w:rsidRPr="00000000">
        <w:rPr>
          <w:rtl w:val="0"/>
        </w:rPr>
      </w:r>
    </w:p>
    <w:p w:rsidR="00000000" w:rsidDel="00000000" w:rsidP="00000000" w:rsidRDefault="00000000" w:rsidRPr="00000000" w14:paraId="000001F2">
      <w:pPr>
        <w:pStyle w:val="Heading3"/>
        <w:spacing w:after="0" w:lineRule="auto"/>
        <w:rPr/>
      </w:pPr>
      <w:r w:rsidDel="00000000" w:rsidR="00000000" w:rsidRPr="00000000">
        <w:rPr>
          <w:rtl w:val="0"/>
        </w:rPr>
        <w:t xml:space="preserve">II-7 Professional and Self-Development</w:t>
      </w:r>
    </w:p>
    <w:p w:rsidR="00000000" w:rsidDel="00000000" w:rsidP="00000000" w:rsidRDefault="00000000" w:rsidRPr="00000000" w14:paraId="000001F3">
      <w:pPr>
        <w:rPr>
          <w:sz w:val="24"/>
          <w:szCs w:val="24"/>
        </w:rPr>
      </w:pPr>
      <w:r w:rsidDel="00000000" w:rsidR="00000000" w:rsidRPr="00000000">
        <w:rPr>
          <w:sz w:val="24"/>
          <w:szCs w:val="24"/>
          <w:rtl w:val="0"/>
        </w:rPr>
        <w:t xml:space="preserve">Describe the institution's approach to assessing GE SLO: Professional and Self-Development. Professional and Self-Development is defined as the ability to: </w:t>
      </w:r>
    </w:p>
    <w:p w:rsidR="00000000" w:rsidDel="00000000" w:rsidP="00000000" w:rsidRDefault="00000000" w:rsidRPr="00000000" w14:paraId="000001F4">
      <w:pPr>
        <w:numPr>
          <w:ilvl w:val="0"/>
          <w:numId w:val="17"/>
        </w:numPr>
        <w:ind w:left="720" w:hanging="360"/>
        <w:rPr>
          <w:sz w:val="24"/>
          <w:szCs w:val="24"/>
        </w:rPr>
      </w:pPr>
      <w:r w:rsidDel="00000000" w:rsidR="00000000" w:rsidRPr="00000000">
        <w:rPr>
          <w:sz w:val="24"/>
          <w:szCs w:val="24"/>
          <w:rtl w:val="0"/>
        </w:rPr>
        <w:t xml:space="preserve">Develop professional or personal goals </w:t>
      </w:r>
      <w:r w:rsidDel="00000000" w:rsidR="00000000" w:rsidRPr="00000000">
        <w:rPr>
          <w:rtl w:val="0"/>
        </w:rPr>
      </w:r>
    </w:p>
    <w:p w:rsidR="00000000" w:rsidDel="00000000" w:rsidP="00000000" w:rsidRDefault="00000000" w:rsidRPr="00000000" w14:paraId="000001F5">
      <w:pPr>
        <w:numPr>
          <w:ilvl w:val="0"/>
          <w:numId w:val="17"/>
        </w:numPr>
        <w:ind w:left="720" w:hanging="360"/>
        <w:rPr>
          <w:sz w:val="24"/>
          <w:szCs w:val="24"/>
        </w:rPr>
      </w:pPr>
      <w:r w:rsidDel="00000000" w:rsidR="00000000" w:rsidRPr="00000000">
        <w:rPr>
          <w:sz w:val="24"/>
          <w:szCs w:val="24"/>
          <w:rtl w:val="0"/>
        </w:rPr>
        <w:t xml:space="preserve">Identify strengths and challenges to achieve a desired professional or personal goal. </w:t>
      </w:r>
      <w:r w:rsidDel="00000000" w:rsidR="00000000" w:rsidRPr="00000000">
        <w:rPr>
          <w:rtl w:val="0"/>
        </w:rPr>
      </w:r>
    </w:p>
    <w:p w:rsidR="00000000" w:rsidDel="00000000" w:rsidP="00000000" w:rsidRDefault="00000000" w:rsidRPr="00000000" w14:paraId="000001F6">
      <w:pPr>
        <w:numPr>
          <w:ilvl w:val="0"/>
          <w:numId w:val="17"/>
        </w:numPr>
        <w:ind w:left="720" w:hanging="360"/>
        <w:rPr>
          <w:sz w:val="24"/>
          <w:szCs w:val="24"/>
        </w:rPr>
      </w:pPr>
      <w:r w:rsidDel="00000000" w:rsidR="00000000" w:rsidRPr="00000000">
        <w:rPr>
          <w:sz w:val="24"/>
          <w:szCs w:val="24"/>
          <w:rtl w:val="0"/>
        </w:rPr>
        <w:t xml:space="preserve">Establish an action plan to achieve a professional or personal goal. </w:t>
      </w:r>
      <w:r w:rsidDel="00000000" w:rsidR="00000000" w:rsidRPr="00000000">
        <w:rPr>
          <w:rtl w:val="0"/>
        </w:rPr>
      </w:r>
    </w:p>
    <w:p w:rsidR="00000000" w:rsidDel="00000000" w:rsidP="00000000" w:rsidRDefault="00000000" w:rsidRPr="00000000" w14:paraId="000001F7">
      <w:pPr>
        <w:numPr>
          <w:ilvl w:val="0"/>
          <w:numId w:val="17"/>
        </w:numPr>
        <w:ind w:left="720" w:hanging="360"/>
        <w:rPr>
          <w:sz w:val="24"/>
          <w:szCs w:val="24"/>
          <w:u w:val="none"/>
        </w:rPr>
      </w:pPr>
      <w:r w:rsidDel="00000000" w:rsidR="00000000" w:rsidRPr="00000000">
        <w:rPr>
          <w:sz w:val="24"/>
          <w:szCs w:val="24"/>
          <w:rtl w:val="0"/>
        </w:rPr>
        <w:t xml:space="preserve">Translate acquired knowledge into professional skills.</w:t>
      </w:r>
    </w:p>
    <w:p w:rsidR="00000000" w:rsidDel="00000000" w:rsidP="00000000" w:rsidRDefault="00000000" w:rsidRPr="00000000" w14:paraId="000001F8">
      <w:pPr>
        <w:pStyle w:val="Heading4"/>
        <w:spacing w:after="0" w:before="200" w:lineRule="auto"/>
        <w:rPr/>
      </w:pPr>
      <w:bookmarkStart w:colFirst="0" w:colLast="0" w:name="_rp3bs67u6i4x" w:id="48"/>
      <w:bookmarkEnd w:id="48"/>
      <w:r w:rsidDel="00000000" w:rsidR="00000000" w:rsidRPr="00000000">
        <w:rPr>
          <w:rtl w:val="0"/>
        </w:rPr>
        <w:t xml:space="preserve">Institutional questions and alignment of course assessments with the outcome and its indicators</w:t>
      </w:r>
    </w:p>
    <w:p w:rsidR="00000000" w:rsidDel="00000000" w:rsidP="00000000" w:rsidRDefault="00000000" w:rsidRPr="00000000" w14:paraId="000001F9">
      <w:pPr>
        <w:spacing w:after="0" w:before="0" w:lineRule="auto"/>
        <w:rPr/>
      </w:pPr>
      <w:r w:rsidDel="00000000" w:rsidR="00000000" w:rsidRPr="00000000">
        <w:rPr>
          <w:rtl w:val="0"/>
        </w:rPr>
        <w:t xml:space="preserve">General education courses demonstrate strong alignment with the Professional and Self-Development outcome. Each course emphasizes at least one of the four indicators: developing personal or professional goals, identifying strengths and challenges, establishing an action plan, or translating knowledge into skills. For example, Personal Financial Planning (FIN 2113) directly supports goal-setting and action planning through financial literacy and decision-making. First Aid (HED 2212) and Personal Health (HED 1113) emphasize identifying lifestyle challenges and applying strategies to improve well-being. Language courses such as Cherokee I and II (CHER 1113/1123) and American Sign Language (SPED 3313) focus on communication growth, cultural understanding, and the ability to translate classroom knowledge into practical interaction skills. Information literacy courses (LIBM 2601 and LIBM 4611) and University Strategies (UNIV 1003) center on developing academic and professional strategies, connecting goals with concrete skills for success. Collectively, these courses address all four institutional indicators of the outcome.</w:t>
      </w:r>
    </w:p>
    <w:p w:rsidR="00000000" w:rsidDel="00000000" w:rsidP="00000000" w:rsidRDefault="00000000" w:rsidRPr="00000000" w14:paraId="000001FA">
      <w:pPr>
        <w:pStyle w:val="Heading4"/>
        <w:spacing w:after="0" w:before="200" w:lineRule="auto"/>
        <w:rPr/>
      </w:pPr>
      <w:bookmarkStart w:colFirst="0" w:colLast="0" w:name="_vduhtn2v4s76" w:id="49"/>
      <w:bookmarkEnd w:id="49"/>
      <w:r w:rsidDel="00000000" w:rsidR="00000000" w:rsidRPr="00000000">
        <w:rPr>
          <w:rtl w:val="0"/>
        </w:rPr>
        <w:t xml:space="preserve">Assessment methods used across courses aligned to the outcome</w:t>
      </w:r>
    </w:p>
    <w:p w:rsidR="00000000" w:rsidDel="00000000" w:rsidP="00000000" w:rsidRDefault="00000000" w:rsidRPr="00000000" w14:paraId="000001FB">
      <w:pPr>
        <w:spacing w:after="0" w:before="0" w:lineRule="auto"/>
        <w:rPr/>
      </w:pPr>
      <w:r w:rsidDel="00000000" w:rsidR="00000000" w:rsidRPr="00000000">
        <w:rPr>
          <w:color w:val="000000"/>
          <w:sz w:val="24"/>
          <w:szCs w:val="24"/>
          <w:rtl w:val="0"/>
        </w:rPr>
        <w:t xml:space="preserve">Assessment methods reflected the diversity of course goals. Examinations were the primary tool in Cherokee, Health, and First Aid courses, measuring cumulative knowledge and application of content. Performance-based assessments were emphasized in American Sign Language, where students demonstrated expressive and receptive communication skills in authentic settings. Reflective essays were used in Online Research courses, requiring students to evaluate information sources and articulate their applications to both personal and professional contexts. Personal Financial Planning utilized scenario-based multiple-choice questions to assess knowledge applied to real-world decisions. University Strategies emphasized participation, reflection, and goal-setting exercises. Emerging Technologies (EDUC 4823) used applied projects in digital citizenship, combining knowledge with professional practice. The range of methods illustrates that assessments are not only knowledge-based but also skill- and reflection-based, reinforcing personal and professional development across disciplines.</w:t>
      </w:r>
      <w:r w:rsidDel="00000000" w:rsidR="00000000" w:rsidRPr="00000000">
        <w:rPr>
          <w:rtl w:val="0"/>
        </w:rPr>
      </w:r>
    </w:p>
    <w:p w:rsidR="00000000" w:rsidDel="00000000" w:rsidP="00000000" w:rsidRDefault="00000000" w:rsidRPr="00000000" w14:paraId="000001FC">
      <w:pPr>
        <w:pStyle w:val="Heading4"/>
        <w:spacing w:after="0" w:before="200" w:lineRule="auto"/>
        <w:rPr/>
      </w:pPr>
      <w:bookmarkStart w:colFirst="0" w:colLast="0" w:name="_8p06vvk4o2wu" w:id="50"/>
      <w:bookmarkEnd w:id="50"/>
      <w:r w:rsidDel="00000000" w:rsidR="00000000" w:rsidRPr="00000000">
        <w:rPr>
          <w:rtl w:val="0"/>
        </w:rPr>
        <w:t xml:space="preserve">Performance outcomes as reported in course-level assessments</w:t>
      </w:r>
    </w:p>
    <w:p w:rsidR="00000000" w:rsidDel="00000000" w:rsidP="00000000" w:rsidRDefault="00000000" w:rsidRPr="00000000" w14:paraId="000001FD">
      <w:pPr>
        <w:spacing w:after="0" w:before="0" w:lineRule="auto"/>
        <w:rPr/>
      </w:pPr>
      <w:r w:rsidDel="00000000" w:rsidR="00000000" w:rsidRPr="00000000">
        <w:rPr>
          <w:color w:val="000000"/>
          <w:sz w:val="24"/>
          <w:szCs w:val="24"/>
          <w:rtl w:val="0"/>
        </w:rPr>
        <w:t xml:space="preserve">Student performance outcomes were generally strong, with most courses reporting that a majority of students met or exceeded performance targets. In Cherokee I, 72 percent of students achieved the passing benchmark, while Cherokee II reported 100 percent meeting expectations. American Sign Language showed improvement over the prior year, with 66 percent of students meeting the performance target, an increase tied to enhanced engagement opportunities. Personal Financial Planning exceeded benchmarks, with between 94% and 100% of students meeting expectations across all measured outcomes. First Aid reported consistently high results, with over 80 percent of students achieving benchmarks across multiple assessments. Personal Health showed the majority of students earning a passing grade of C or higher across large enrollments. Online Research courses showed mixed completion patterns but high performance among students who submitted final projects. University Strategies reported over 90 percent of students achieving success under the revised in-person delivery model. Overall, outcomes indicate that students are essentially achieving learning goals related to Professional and Self-Development.</w:t>
      </w:r>
      <w:r w:rsidDel="00000000" w:rsidR="00000000" w:rsidRPr="00000000">
        <w:rPr>
          <w:rtl w:val="0"/>
        </w:rPr>
      </w:r>
    </w:p>
    <w:p w:rsidR="00000000" w:rsidDel="00000000" w:rsidP="00000000" w:rsidRDefault="00000000" w:rsidRPr="00000000" w14:paraId="000001FE">
      <w:pPr>
        <w:pStyle w:val="Heading4"/>
        <w:spacing w:after="0" w:before="200" w:lineRule="auto"/>
        <w:rPr/>
      </w:pPr>
      <w:bookmarkStart w:colFirst="0" w:colLast="0" w:name="_heiuqjpsdkle" w:id="51"/>
      <w:bookmarkEnd w:id="51"/>
      <w:r w:rsidDel="00000000" w:rsidR="00000000" w:rsidRPr="00000000">
        <w:rPr>
          <w:rtl w:val="0"/>
        </w:rPr>
        <w:t xml:space="preserve">Findings from faculty analysis of assessment results</w:t>
      </w:r>
    </w:p>
    <w:p w:rsidR="00000000" w:rsidDel="00000000" w:rsidP="00000000" w:rsidRDefault="00000000" w:rsidRPr="00000000" w14:paraId="000001FF">
      <w:pPr>
        <w:spacing w:after="0" w:before="0" w:lineRule="auto"/>
        <w:rPr/>
      </w:pPr>
      <w:r w:rsidDel="00000000" w:rsidR="00000000" w:rsidRPr="00000000">
        <w:rPr>
          <w:color w:val="000000"/>
          <w:sz w:val="24"/>
          <w:szCs w:val="24"/>
          <w:rtl w:val="0"/>
        </w:rPr>
        <w:t xml:space="preserve">Faculty noted both strengths and areas for growth across courses. The language faculty emphasized that high-scoring students often excelled, while lower-performing students highlighted the need for additional support. ASL faculty concluded that student engagement in immersive activities strongly influenced success, confirming prior observations. In First Aid and Personal Health, faculty found that students consistently achieved benchmarks, confirming alignment between instruction and assessment. However, they also identified topic areas where students struggled, such as cancer-related content in Personal Health, and noted that student interest often influenced outcomes. Finance faculty observed that the new assessment tool was effective but required continued use for longitudinal comparison. Online Research faculty noted persistent non-completion rates for final projects, which limited the performance results despite strong scores among those who completed them. Across courses, faculty consistently validated that assessments accurately captured student knowledge and skills, while also identifying opportunities to strengthen engagement, rigor, and support.</w:t>
      </w:r>
      <w:r w:rsidDel="00000000" w:rsidR="00000000" w:rsidRPr="00000000">
        <w:rPr>
          <w:rtl w:val="0"/>
        </w:rPr>
      </w:r>
    </w:p>
    <w:p w:rsidR="00000000" w:rsidDel="00000000" w:rsidP="00000000" w:rsidRDefault="00000000" w:rsidRPr="00000000" w14:paraId="00000200">
      <w:pPr>
        <w:pStyle w:val="Heading4"/>
        <w:spacing w:after="0" w:before="200" w:lineRule="auto"/>
        <w:rPr/>
      </w:pPr>
      <w:bookmarkStart w:colFirst="0" w:colLast="0" w:name="_7fvuzsrfyjxa" w:id="52"/>
      <w:bookmarkEnd w:id="52"/>
      <w:r w:rsidDel="00000000" w:rsidR="00000000" w:rsidRPr="00000000">
        <w:rPr>
          <w:rtl w:val="0"/>
        </w:rPr>
        <w:t xml:space="preserve">Institutional opportunities identified through closing the loop processes</w:t>
      </w:r>
    </w:p>
    <w:p w:rsidR="00000000" w:rsidDel="00000000" w:rsidP="00000000" w:rsidRDefault="00000000" w:rsidRPr="00000000" w14:paraId="00000201">
      <w:pPr>
        <w:spacing w:after="0" w:before="0" w:lineRule="auto"/>
        <w:rPr/>
      </w:pPr>
      <w:r w:rsidDel="00000000" w:rsidR="00000000" w:rsidRPr="00000000">
        <w:rPr>
          <w:color w:val="000000"/>
          <w:sz w:val="24"/>
          <w:szCs w:val="24"/>
          <w:rtl w:val="0"/>
        </w:rPr>
        <w:t xml:space="preserve">Courses identified opportunities to expand assessment strategies and strengthen student support. Cherokee and ASL faculty planned to develop additional assessments that measure conversational fluency, reflecting a desire to align more closely with real-world communication skills. The Personal Health faculty emphasized incorporating more interactive tools and extending learning opportunities for underperforming topics, such as sexual health and chronic illness. The First Aid faculty noted the potential to expand online lab experiences to support diverse delivery formats better. Finance faculty aimed to continue refining assessment tools to ensure accurate measurement across course outcomes. The Online Research faculty highlighted the need for stronger student engagement and feedback mechanisms. At the same time, the University Strategies identified success in its revised delivery model but also sought technological improvements for project submissions. These opportunities show a shared institutional focus on improving engagement, rigor, and alignment between course learning and broader developmental outcomes.</w:t>
      </w:r>
      <w:r w:rsidDel="00000000" w:rsidR="00000000" w:rsidRPr="00000000">
        <w:rPr>
          <w:rtl w:val="0"/>
        </w:rPr>
      </w:r>
    </w:p>
    <w:p w:rsidR="00000000" w:rsidDel="00000000" w:rsidP="00000000" w:rsidRDefault="00000000" w:rsidRPr="00000000" w14:paraId="00000202">
      <w:pPr>
        <w:pStyle w:val="Heading4"/>
        <w:spacing w:after="0" w:before="200" w:lineRule="auto"/>
        <w:rPr/>
      </w:pPr>
      <w:bookmarkStart w:colFirst="0" w:colLast="0" w:name="_wgmcib6wf6zo" w:id="53"/>
      <w:bookmarkEnd w:id="53"/>
      <w:r w:rsidDel="00000000" w:rsidR="00000000" w:rsidRPr="00000000">
        <w:rPr>
          <w:rtl w:val="0"/>
        </w:rPr>
        <w:t xml:space="preserve">Next steps for monitoring and strengthening assessment of this outcome</w:t>
      </w:r>
    </w:p>
    <w:p w:rsidR="00000000" w:rsidDel="00000000" w:rsidP="00000000" w:rsidRDefault="00000000" w:rsidRPr="00000000" w14:paraId="00000203">
      <w:pPr>
        <w:spacing w:after="0" w:before="0" w:lineRule="auto"/>
        <w:rPr>
          <w:color w:val="000000"/>
          <w:sz w:val="24"/>
          <w:szCs w:val="24"/>
        </w:rPr>
        <w:sectPr>
          <w:headerReference r:id="rId6" w:type="default"/>
          <w:headerReference r:id="rId7" w:type="first"/>
          <w:footerReference r:id="rId8" w:type="default"/>
          <w:footerReference r:id="rId9" w:type="first"/>
          <w:footerReference r:id="rId10" w:type="even"/>
          <w:pgSz w:h="15840" w:w="12240" w:orient="portrait"/>
          <w:pgMar w:bottom="1800" w:top="2160" w:left="1080" w:right="1080" w:header="708" w:footer="708"/>
          <w:pgNumType w:start="1"/>
        </w:sectPr>
      </w:pPr>
      <w:r w:rsidDel="00000000" w:rsidR="00000000" w:rsidRPr="00000000">
        <w:rPr>
          <w:color w:val="000000"/>
          <w:sz w:val="24"/>
          <w:szCs w:val="24"/>
          <w:rtl w:val="0"/>
        </w:rPr>
        <w:t xml:space="preserve">Next steps center on refining both assessment tools and instructional practices to ensure that Professional and Self-Development is consistently and comprehensively measured. Faculty plan to expand assessment strategies beyond single high-stakes exams, ensuring that student strengths and challenges are captured more holistically. Increased emphasis will be placed on experiential learning, applied projects, and reflection better to connect classroom content to personal and professional growth. Courses with consistently high success rates will explore ways to introduce additional rigor, while classes with uneven outcomes will incorporate more scaffolding, feedback, and interactive engagement opportunities. At the institutional level, continued monitoring of assessment tool effectiveness and improved data collection across delivery formats will support more robust longitudinal analysis. Collectively, these next steps will strengthen both the validity of assessments and the developmental impact on students as they build the skills needed for professional and personal growth</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04">
      <w:pPr>
        <w:pStyle w:val="Heading2"/>
        <w:spacing w:before="0" w:lineRule="auto"/>
        <w:rPr/>
      </w:pPr>
      <w:r w:rsidDel="00000000" w:rsidR="00000000" w:rsidRPr="00000000">
        <w:rPr>
          <w:rtl w:val="0"/>
        </w:rPr>
        <w:t xml:space="preserve">Section III – Program Outcomes</w:t>
      </w:r>
    </w:p>
    <w:p w:rsidR="00000000" w:rsidDel="00000000" w:rsidP="00000000" w:rsidRDefault="00000000" w:rsidRPr="00000000" w14:paraId="00000205">
      <w:pPr>
        <w:pStyle w:val="Heading3"/>
        <w:spacing w:after="0" w:lineRule="auto"/>
        <w:rPr/>
      </w:pPr>
      <w:r w:rsidDel="00000000" w:rsidR="00000000" w:rsidRPr="00000000">
        <w:rPr>
          <w:rtl w:val="0"/>
        </w:rPr>
        <w:t xml:space="preserve">III-1 Describe the institution’s approach to program-level assessment of student learning, including the following:</w:t>
      </w:r>
    </w:p>
    <w:p w:rsidR="00000000" w:rsidDel="00000000" w:rsidP="00000000" w:rsidRDefault="00000000" w:rsidRPr="00000000" w14:paraId="00000206">
      <w:pPr>
        <w:numPr>
          <w:ilvl w:val="0"/>
          <w:numId w:val="9"/>
        </w:numPr>
        <w:spacing w:before="0" w:lineRule="auto"/>
        <w:ind w:left="603" w:hanging="360"/>
        <w:rPr>
          <w:sz w:val="24"/>
          <w:szCs w:val="24"/>
        </w:rPr>
      </w:pPr>
      <w:r w:rsidDel="00000000" w:rsidR="00000000" w:rsidRPr="00000000">
        <w:rPr>
          <w:color w:val="000000"/>
          <w:sz w:val="24"/>
          <w:szCs w:val="24"/>
          <w:rtl w:val="0"/>
        </w:rPr>
        <w:t xml:space="preserve">Organizational structure and roles involved in managing assessment</w:t>
      </w:r>
      <w:r w:rsidDel="00000000" w:rsidR="00000000" w:rsidRPr="00000000">
        <w:rPr>
          <w:rtl w:val="0"/>
        </w:rPr>
      </w:r>
    </w:p>
    <w:p w:rsidR="00000000" w:rsidDel="00000000" w:rsidP="00000000" w:rsidRDefault="00000000" w:rsidRPr="00000000" w14:paraId="00000207">
      <w:pPr>
        <w:numPr>
          <w:ilvl w:val="0"/>
          <w:numId w:val="9"/>
        </w:numPr>
        <w:ind w:left="603" w:hanging="360"/>
        <w:rPr>
          <w:sz w:val="24"/>
          <w:szCs w:val="24"/>
        </w:rPr>
      </w:pPr>
      <w:r w:rsidDel="00000000" w:rsidR="00000000" w:rsidRPr="00000000">
        <w:rPr>
          <w:color w:val="000000"/>
          <w:sz w:val="24"/>
          <w:szCs w:val="24"/>
          <w:rtl w:val="0"/>
        </w:rPr>
        <w:t xml:space="preserve">Scope and methods used for assessing program-level outcomes</w:t>
      </w:r>
      <w:r w:rsidDel="00000000" w:rsidR="00000000" w:rsidRPr="00000000">
        <w:rPr>
          <w:rtl w:val="0"/>
        </w:rPr>
      </w:r>
    </w:p>
    <w:p w:rsidR="00000000" w:rsidDel="00000000" w:rsidP="00000000" w:rsidRDefault="00000000" w:rsidRPr="00000000" w14:paraId="00000208">
      <w:pPr>
        <w:numPr>
          <w:ilvl w:val="0"/>
          <w:numId w:val="9"/>
        </w:numPr>
        <w:ind w:left="603" w:hanging="360"/>
        <w:rPr>
          <w:sz w:val="24"/>
          <w:szCs w:val="24"/>
        </w:rPr>
      </w:pPr>
      <w:r w:rsidDel="00000000" w:rsidR="00000000" w:rsidRPr="00000000">
        <w:rPr>
          <w:color w:val="000000"/>
          <w:sz w:val="24"/>
          <w:szCs w:val="24"/>
          <w:rtl w:val="0"/>
        </w:rPr>
        <w:t xml:space="preserve">Summary of results and examples of how assessment data informed program actions</w:t>
      </w:r>
      <w:r w:rsidDel="00000000" w:rsidR="00000000" w:rsidRPr="00000000">
        <w:rPr>
          <w:rtl w:val="0"/>
        </w:rPr>
      </w:r>
    </w:p>
    <w:p w:rsidR="00000000" w:rsidDel="00000000" w:rsidP="00000000" w:rsidRDefault="00000000" w:rsidRPr="00000000" w14:paraId="00000209">
      <w:pPr>
        <w:numPr>
          <w:ilvl w:val="0"/>
          <w:numId w:val="9"/>
        </w:numPr>
        <w:spacing w:after="320" w:lineRule="auto"/>
        <w:ind w:left="603" w:hanging="360"/>
        <w:rPr>
          <w:sz w:val="24"/>
          <w:szCs w:val="24"/>
        </w:rPr>
      </w:pPr>
      <w:r w:rsidDel="00000000" w:rsidR="00000000" w:rsidRPr="00000000">
        <w:rPr>
          <w:color w:val="000000"/>
          <w:sz w:val="24"/>
          <w:szCs w:val="24"/>
          <w:rtl w:val="0"/>
        </w:rPr>
        <w:t xml:space="preserve">Institutional steps taken to analyze, share, and use results across academic units</w:t>
      </w:r>
      <w:r w:rsidDel="00000000" w:rsidR="00000000" w:rsidRPr="00000000">
        <w:rPr>
          <w:rtl w:val="0"/>
        </w:rPr>
      </w:r>
    </w:p>
    <w:p w:rsidR="00000000" w:rsidDel="00000000" w:rsidP="00000000" w:rsidRDefault="00000000" w:rsidRPr="00000000" w14:paraId="0000020A">
      <w:pPr>
        <w:pStyle w:val="Heading4"/>
        <w:spacing w:after="0" w:lineRule="auto"/>
        <w:rPr/>
      </w:pPr>
      <w:bookmarkStart w:colFirst="0" w:colLast="0" w:name="_5hklk6yrmfl4" w:id="54"/>
      <w:bookmarkEnd w:id="54"/>
      <w:r w:rsidDel="00000000" w:rsidR="00000000" w:rsidRPr="00000000">
        <w:rPr>
          <w:rtl w:val="0"/>
        </w:rPr>
        <w:t xml:space="preserve">Overview of Institutional Assessment Structure</w:t>
      </w:r>
    </w:p>
    <w:p w:rsidR="00000000" w:rsidDel="00000000" w:rsidP="00000000" w:rsidRDefault="00000000" w:rsidRPr="00000000" w14:paraId="0000020B">
      <w:pPr>
        <w:spacing w:after="200" w:lineRule="auto"/>
        <w:rPr/>
      </w:pPr>
      <w:r w:rsidDel="00000000" w:rsidR="00000000" w:rsidRPr="00000000">
        <w:rPr>
          <w:color w:val="000000"/>
          <w:sz w:val="24"/>
          <w:szCs w:val="24"/>
          <w:rtl w:val="0"/>
        </w:rPr>
        <w:t xml:space="preserve">Program-level learning assessment at Northeastern State University is managed through a coordinated system involving the Office of Academic Affairs, led by the Associate Vice President for Academic Affairs (AVPAA), with support from the Academic Process Coordinator and oversight by the Student Learning Assessment Committee (SLAC). This structure is designed to ensure consistency in data collection, meaningful faculty involvement, and the use of results for institutional improvement.</w:t>
      </w:r>
      <w:r w:rsidDel="00000000" w:rsidR="00000000" w:rsidRPr="00000000">
        <w:rPr>
          <w:rtl w:val="0"/>
        </w:rPr>
      </w:r>
    </w:p>
    <w:p w:rsidR="00000000" w:rsidDel="00000000" w:rsidP="00000000" w:rsidRDefault="00000000" w:rsidRPr="00000000" w14:paraId="0000020C">
      <w:pPr>
        <w:rPr>
          <w:sz w:val="24"/>
          <w:szCs w:val="24"/>
        </w:rPr>
      </w:pPr>
      <w:r w:rsidDel="00000000" w:rsidR="00000000" w:rsidRPr="00000000">
        <w:rPr>
          <w:color w:val="000000"/>
          <w:sz w:val="24"/>
          <w:szCs w:val="24"/>
          <w:rtl w:val="0"/>
        </w:rPr>
        <w:t xml:space="preserve">Each academic program completes an annual report documenting student learning outcomes, aligned assessments, benchmark targets, outcome-level results (e.g., met/not met), and proposed actions. These reports are submitted through NSU’s Watermark Planning &amp; Self-Study platform, which serves as both a data repository and a dashboard for institutional analysis.</w:t>
      </w:r>
      <w:r w:rsidDel="00000000" w:rsidR="00000000" w:rsidRPr="00000000">
        <w:rPr>
          <w:rtl w:val="0"/>
        </w:rPr>
      </w:r>
    </w:p>
    <w:p w:rsidR="00000000" w:rsidDel="00000000" w:rsidP="00000000" w:rsidRDefault="00000000" w:rsidRPr="00000000" w14:paraId="0000020D">
      <w:pPr>
        <w:pStyle w:val="Heading4"/>
        <w:spacing w:after="0" w:before="200" w:lineRule="auto"/>
        <w:rPr/>
      </w:pPr>
      <w:bookmarkStart w:colFirst="0" w:colLast="0" w:name="_p87bio6k4sup" w:id="55"/>
      <w:bookmarkEnd w:id="55"/>
      <w:r w:rsidDel="00000000" w:rsidR="00000000" w:rsidRPr="00000000">
        <w:rPr>
          <w:rtl w:val="0"/>
        </w:rPr>
        <w:t xml:space="preserve">Scope and Methods in 2023–24</w:t>
      </w:r>
    </w:p>
    <w:p w:rsidR="00000000" w:rsidDel="00000000" w:rsidP="00000000" w:rsidRDefault="00000000" w:rsidRPr="00000000" w14:paraId="0000020E">
      <w:pPr>
        <w:rPr>
          <w:sz w:val="24"/>
          <w:szCs w:val="24"/>
        </w:rPr>
      </w:pPr>
      <w:r w:rsidDel="00000000" w:rsidR="00000000" w:rsidRPr="00000000">
        <w:rPr>
          <w:color w:val="000000"/>
          <w:sz w:val="24"/>
          <w:szCs w:val="24"/>
          <w:rtl w:val="0"/>
        </w:rPr>
        <w:t xml:space="preserve">In the 2023–24 assessment cycle:</w:t>
      </w:r>
      <w:r w:rsidDel="00000000" w:rsidR="00000000" w:rsidRPr="00000000">
        <w:rPr>
          <w:rtl w:val="0"/>
        </w:rPr>
      </w:r>
    </w:p>
    <w:p w:rsidR="00000000" w:rsidDel="00000000" w:rsidP="00000000" w:rsidRDefault="00000000" w:rsidRPr="00000000" w14:paraId="0000020F">
      <w:pPr>
        <w:numPr>
          <w:ilvl w:val="0"/>
          <w:numId w:val="10"/>
        </w:numPr>
        <w:spacing w:before="0" w:lineRule="auto"/>
        <w:ind w:left="603" w:hanging="360"/>
        <w:rPr>
          <w:sz w:val="24"/>
          <w:szCs w:val="24"/>
        </w:rPr>
      </w:pPr>
      <w:r w:rsidDel="00000000" w:rsidR="00000000" w:rsidRPr="00000000">
        <w:rPr>
          <w:color w:val="000000"/>
          <w:sz w:val="24"/>
          <w:szCs w:val="24"/>
          <w:rtl w:val="0"/>
        </w:rPr>
        <w:t xml:space="preserve">84 of 87 academic programs submitted reports (97 percent completion rate)</w:t>
      </w:r>
      <w:r w:rsidDel="00000000" w:rsidR="00000000" w:rsidRPr="00000000">
        <w:rPr>
          <w:rtl w:val="0"/>
        </w:rPr>
      </w:r>
    </w:p>
    <w:p w:rsidR="00000000" w:rsidDel="00000000" w:rsidP="00000000" w:rsidRDefault="00000000" w:rsidRPr="00000000" w14:paraId="00000210">
      <w:pPr>
        <w:numPr>
          <w:ilvl w:val="0"/>
          <w:numId w:val="10"/>
        </w:numPr>
        <w:ind w:left="603" w:hanging="360"/>
        <w:rPr>
          <w:sz w:val="24"/>
          <w:szCs w:val="24"/>
        </w:rPr>
      </w:pPr>
      <w:r w:rsidDel="00000000" w:rsidR="00000000" w:rsidRPr="00000000">
        <w:rPr>
          <w:color w:val="000000"/>
          <w:sz w:val="24"/>
          <w:szCs w:val="24"/>
          <w:rtl w:val="0"/>
        </w:rPr>
        <w:t xml:space="preserve">511 student learning outcomes were assessed</w:t>
      </w:r>
      <w:r w:rsidDel="00000000" w:rsidR="00000000" w:rsidRPr="00000000">
        <w:rPr>
          <w:rtl w:val="0"/>
        </w:rPr>
      </w:r>
    </w:p>
    <w:p w:rsidR="00000000" w:rsidDel="00000000" w:rsidP="00000000" w:rsidRDefault="00000000" w:rsidRPr="00000000" w14:paraId="00000211">
      <w:pPr>
        <w:numPr>
          <w:ilvl w:val="0"/>
          <w:numId w:val="10"/>
        </w:numPr>
        <w:spacing w:after="320" w:lineRule="auto"/>
        <w:ind w:left="603" w:hanging="360"/>
        <w:rPr>
          <w:sz w:val="24"/>
          <w:szCs w:val="24"/>
        </w:rPr>
      </w:pPr>
      <w:r w:rsidDel="00000000" w:rsidR="00000000" w:rsidRPr="00000000">
        <w:rPr>
          <w:color w:val="000000"/>
          <w:sz w:val="24"/>
          <w:szCs w:val="24"/>
          <w:rtl w:val="0"/>
        </w:rPr>
        <w:t xml:space="preserve">833 assessment measures were used, 82 percent of which were direct assessments (exams, projects, clinical assessments)</w:t>
      </w:r>
      <w:r w:rsidDel="00000000" w:rsidR="00000000" w:rsidRPr="00000000">
        <w:rPr>
          <w:rtl w:val="0"/>
        </w:rPr>
      </w:r>
    </w:p>
    <w:p w:rsidR="00000000" w:rsidDel="00000000" w:rsidP="00000000" w:rsidRDefault="00000000" w:rsidRPr="00000000" w14:paraId="00000212">
      <w:pPr>
        <w:spacing w:after="200" w:lineRule="auto"/>
        <w:rPr>
          <w:sz w:val="24"/>
          <w:szCs w:val="24"/>
        </w:rPr>
      </w:pPr>
      <w:r w:rsidDel="00000000" w:rsidR="00000000" w:rsidRPr="00000000">
        <w:rPr>
          <w:color w:val="000000"/>
          <w:sz w:val="24"/>
          <w:szCs w:val="24"/>
          <w:rtl w:val="0"/>
        </w:rPr>
        <w:t xml:space="preserve">Programs used structured benchmarks (typically 80 percent of students meeting expectations), and results were entered using standardized performance categories (e.g., Met, Not Met, Exceeded). Of the 511 outcomes assessed, 63 percent were reported as Met or Exceeded, 5 percent as Not Met, and 33 percent were left unspecified by the reporting units. This reflects early adoption challenges with the new platform and inconsistent completion of outcome-level results in the first year.</w:t>
      </w:r>
      <w:r w:rsidDel="00000000" w:rsidR="00000000" w:rsidRPr="00000000">
        <w:rPr>
          <w:rtl w:val="0"/>
        </w:rPr>
      </w:r>
    </w:p>
    <w:p w:rsidR="00000000" w:rsidDel="00000000" w:rsidP="00000000" w:rsidRDefault="00000000" w:rsidRPr="00000000" w14:paraId="00000213">
      <w:pPr>
        <w:spacing w:after="200" w:lineRule="auto"/>
        <w:rPr>
          <w:sz w:val="24"/>
          <w:szCs w:val="24"/>
        </w:rPr>
      </w:pPr>
      <w:r w:rsidDel="00000000" w:rsidR="00000000" w:rsidRPr="00000000">
        <w:rPr>
          <w:color w:val="000000"/>
          <w:sz w:val="24"/>
          <w:szCs w:val="24"/>
          <w:rtl w:val="0"/>
        </w:rPr>
        <w:t xml:space="preserve">Assessment data is collected and organized in Watermark Planning &amp; Self-Study and exported for review and analysis through the Comprehensive Plan Export and Insights Dashboard. This section summarizes patterns across programs. Complete outcome-level data is available in the attached Comprehensive Plan Export, Insights Summary, and Watermark dashboard.</w:t>
      </w:r>
      <w:r w:rsidDel="00000000" w:rsidR="00000000" w:rsidRPr="00000000">
        <w:rPr>
          <w:rtl w:val="0"/>
        </w:rPr>
      </w:r>
    </w:p>
    <w:p w:rsidR="00000000" w:rsidDel="00000000" w:rsidP="00000000" w:rsidRDefault="00000000" w:rsidRPr="00000000" w14:paraId="00000214">
      <w:pPr>
        <w:pStyle w:val="Heading4"/>
        <w:spacing w:after="0" w:lineRule="auto"/>
        <w:rPr/>
      </w:pPr>
      <w:bookmarkStart w:colFirst="0" w:colLast="0" w:name="_74iq2u9n1qzg" w:id="56"/>
      <w:bookmarkEnd w:id="56"/>
      <w:r w:rsidDel="00000000" w:rsidR="00000000" w:rsidRPr="00000000">
        <w:rPr>
          <w:rtl w:val="0"/>
        </w:rPr>
        <w:t xml:space="preserve">Analysis and Use of Results</w:t>
      </w:r>
    </w:p>
    <w:p w:rsidR="00000000" w:rsidDel="00000000" w:rsidP="00000000" w:rsidRDefault="00000000" w:rsidRPr="00000000" w14:paraId="00000215">
      <w:pPr>
        <w:rPr>
          <w:sz w:val="24"/>
          <w:szCs w:val="24"/>
        </w:rPr>
      </w:pPr>
      <w:r w:rsidDel="00000000" w:rsidR="00000000" w:rsidRPr="00000000">
        <w:rPr>
          <w:color w:val="000000"/>
          <w:sz w:val="24"/>
          <w:szCs w:val="24"/>
          <w:rtl w:val="0"/>
        </w:rPr>
        <w:t xml:space="preserve">The 2023–24 assessment cycle marked NSU’s first full implementation of Watermark Planning &amp; Self-Study as the institutional platform for program-level learning assessment. Academic programs submitted structured reports including outcomes, assessment measures, results, and follow-up actions. This allowed the Office of Academic Affairs to complete the university’s first institution-wide extraction and analysis of program assessment data. During this baseline year, the focus was on developing internal capacity for synthesis and review. Institutional analysis included:</w:t>
      </w:r>
      <w:r w:rsidDel="00000000" w:rsidR="00000000" w:rsidRPr="00000000">
        <w:rPr>
          <w:rtl w:val="0"/>
        </w:rPr>
      </w:r>
    </w:p>
    <w:p w:rsidR="00000000" w:rsidDel="00000000" w:rsidP="00000000" w:rsidRDefault="00000000" w:rsidRPr="00000000" w14:paraId="00000216">
      <w:pPr>
        <w:numPr>
          <w:ilvl w:val="0"/>
          <w:numId w:val="12"/>
        </w:numPr>
        <w:spacing w:before="320" w:lineRule="auto"/>
        <w:ind w:left="720" w:hanging="360"/>
        <w:rPr>
          <w:color w:val="000000"/>
          <w:sz w:val="24"/>
          <w:szCs w:val="24"/>
          <w:u w:val="none"/>
        </w:rPr>
      </w:pPr>
      <w:r w:rsidDel="00000000" w:rsidR="00000000" w:rsidRPr="00000000">
        <w:rPr>
          <w:color w:val="000000"/>
          <w:sz w:val="24"/>
          <w:szCs w:val="24"/>
          <w:rtl w:val="0"/>
        </w:rPr>
        <w:t xml:space="preserve">Aggregating the number of outcomes assessed, met, and not met</w:t>
      </w:r>
      <w:r w:rsidDel="00000000" w:rsidR="00000000" w:rsidRPr="00000000">
        <w:rPr>
          <w:rtl w:val="0"/>
        </w:rPr>
      </w:r>
    </w:p>
    <w:p w:rsidR="00000000" w:rsidDel="00000000" w:rsidP="00000000" w:rsidRDefault="00000000" w:rsidRPr="00000000" w14:paraId="00000217">
      <w:pPr>
        <w:numPr>
          <w:ilvl w:val="0"/>
          <w:numId w:val="12"/>
        </w:numPr>
        <w:ind w:left="720" w:hanging="360"/>
        <w:rPr>
          <w:color w:val="000000"/>
          <w:sz w:val="24"/>
          <w:szCs w:val="24"/>
          <w:u w:val="none"/>
        </w:rPr>
      </w:pPr>
      <w:r w:rsidDel="00000000" w:rsidR="00000000" w:rsidRPr="00000000">
        <w:rPr>
          <w:color w:val="000000"/>
          <w:sz w:val="24"/>
          <w:szCs w:val="24"/>
          <w:rtl w:val="0"/>
        </w:rPr>
        <w:t xml:space="preserve">Identifying frequently used types of measures (e.g., direct exams, capstones)</w:t>
      </w:r>
      <w:r w:rsidDel="00000000" w:rsidR="00000000" w:rsidRPr="00000000">
        <w:rPr>
          <w:rtl w:val="0"/>
        </w:rPr>
      </w:r>
    </w:p>
    <w:p w:rsidR="00000000" w:rsidDel="00000000" w:rsidP="00000000" w:rsidRDefault="00000000" w:rsidRPr="00000000" w14:paraId="00000218">
      <w:pPr>
        <w:numPr>
          <w:ilvl w:val="0"/>
          <w:numId w:val="12"/>
        </w:numPr>
        <w:spacing w:after="320" w:lineRule="auto"/>
        <w:ind w:left="720" w:hanging="360"/>
        <w:rPr>
          <w:color w:val="000000"/>
          <w:sz w:val="24"/>
          <w:szCs w:val="24"/>
          <w:u w:val="none"/>
        </w:rPr>
      </w:pPr>
      <w:r w:rsidDel="00000000" w:rsidR="00000000" w:rsidRPr="00000000">
        <w:rPr>
          <w:color w:val="000000"/>
          <w:sz w:val="24"/>
          <w:szCs w:val="24"/>
          <w:rtl w:val="0"/>
        </w:rPr>
        <w:t xml:space="preserve">Reviewing patterns in proposed action types (e.g., curriculum changes, new prerequisites)</w:t>
      </w:r>
      <w:r w:rsidDel="00000000" w:rsidR="00000000" w:rsidRPr="00000000">
        <w:rPr>
          <w:rtl w:val="0"/>
        </w:rPr>
      </w:r>
    </w:p>
    <w:p w:rsidR="00000000" w:rsidDel="00000000" w:rsidP="00000000" w:rsidRDefault="00000000" w:rsidRPr="00000000" w14:paraId="00000219">
      <w:pPr>
        <w:rPr>
          <w:sz w:val="24"/>
          <w:szCs w:val="24"/>
        </w:rPr>
      </w:pPr>
      <w:r w:rsidDel="00000000" w:rsidR="00000000" w:rsidRPr="00000000">
        <w:rPr>
          <w:color w:val="000000"/>
          <w:sz w:val="24"/>
          <w:szCs w:val="24"/>
          <w:rtl w:val="0"/>
        </w:rPr>
        <w:t xml:space="preserve">Of the 511 outcomes assessed, 63 percent were reported as Met or Exceeded, 5 percent as Not Met, and 33 percent as Unspecified. The high rate of unspecified results reflects transitional issues as programs adapted to the new reporting system. Individual program examples show how some departments are already using results for improvement:</w:t>
      </w:r>
      <w:r w:rsidDel="00000000" w:rsidR="00000000" w:rsidRPr="00000000">
        <w:rPr>
          <w:rtl w:val="0"/>
        </w:rPr>
      </w:r>
    </w:p>
    <w:p w:rsidR="00000000" w:rsidDel="00000000" w:rsidP="00000000" w:rsidRDefault="00000000" w:rsidRPr="00000000" w14:paraId="0000021A">
      <w:pPr>
        <w:numPr>
          <w:ilvl w:val="0"/>
          <w:numId w:val="13"/>
        </w:numPr>
        <w:spacing w:before="320" w:lineRule="auto"/>
        <w:ind w:left="720" w:hanging="360"/>
        <w:rPr>
          <w:sz w:val="24"/>
          <w:szCs w:val="24"/>
          <w:u w:val="none"/>
        </w:rPr>
      </w:pPr>
      <w:r w:rsidDel="00000000" w:rsidR="00000000" w:rsidRPr="00000000">
        <w:rPr>
          <w:color w:val="000000"/>
          <w:sz w:val="24"/>
          <w:szCs w:val="24"/>
          <w:rtl w:val="0"/>
        </w:rPr>
        <w:t xml:space="preserve">The Accounting BBA program proposed a math prerequisite for introductory accounting based on underperformance in quantitative reasoning.</w:t>
      </w:r>
      <w:r w:rsidDel="00000000" w:rsidR="00000000" w:rsidRPr="00000000">
        <w:rPr>
          <w:rtl w:val="0"/>
        </w:rPr>
      </w:r>
    </w:p>
    <w:p w:rsidR="00000000" w:rsidDel="00000000" w:rsidP="00000000" w:rsidRDefault="00000000" w:rsidRPr="00000000" w14:paraId="0000021B">
      <w:pPr>
        <w:numPr>
          <w:ilvl w:val="0"/>
          <w:numId w:val="13"/>
        </w:numPr>
        <w:ind w:left="720" w:hanging="360"/>
        <w:rPr>
          <w:sz w:val="24"/>
          <w:szCs w:val="24"/>
          <w:u w:val="none"/>
        </w:rPr>
      </w:pPr>
      <w:r w:rsidDel="00000000" w:rsidR="00000000" w:rsidRPr="00000000">
        <w:rPr>
          <w:color w:val="000000"/>
          <w:sz w:val="24"/>
          <w:szCs w:val="24"/>
          <w:rtl w:val="0"/>
        </w:rPr>
        <w:t xml:space="preserve">The Nursing program added reinforcement of clinical communication skills following gaps in simulated patient interactions.</w:t>
      </w:r>
      <w:r w:rsidDel="00000000" w:rsidR="00000000" w:rsidRPr="00000000">
        <w:rPr>
          <w:rtl w:val="0"/>
        </w:rPr>
      </w:r>
    </w:p>
    <w:p w:rsidR="00000000" w:rsidDel="00000000" w:rsidP="00000000" w:rsidRDefault="00000000" w:rsidRPr="00000000" w14:paraId="0000021C">
      <w:pPr>
        <w:numPr>
          <w:ilvl w:val="0"/>
          <w:numId w:val="13"/>
        </w:numPr>
        <w:spacing w:after="320" w:lineRule="auto"/>
        <w:ind w:left="720" w:hanging="360"/>
        <w:rPr>
          <w:color w:val="000000"/>
          <w:sz w:val="24"/>
          <w:szCs w:val="24"/>
          <w:u w:val="none"/>
        </w:rPr>
      </w:pPr>
      <w:r w:rsidDel="00000000" w:rsidR="00000000" w:rsidRPr="00000000">
        <w:rPr>
          <w:color w:val="000000"/>
          <w:sz w:val="24"/>
          <w:szCs w:val="24"/>
          <w:rtl w:val="0"/>
        </w:rPr>
        <w:t xml:space="preserve">The Psychology program initiated curricular scaffolding for research methods in response to underperformance in capstone courses.</w:t>
      </w: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color w:val="000000"/>
          <w:sz w:val="24"/>
          <w:szCs w:val="24"/>
          <w:rtl w:val="0"/>
        </w:rPr>
        <w:t xml:space="preserve">While the Student Learning Assessment Committee (SLAC) has supported outcomes review in the past, a consistent institutional feedback loop within the Watermark Planning and Self-Study system has not yet been fully implemented in this 2023-2024 reporting cycle. Beginning in the 2024–25 cycle, NSU will take several steps to strengthen institutional use of assessment results, including:</w:t>
      </w:r>
      <w:r w:rsidDel="00000000" w:rsidR="00000000" w:rsidRPr="00000000">
        <w:rPr>
          <w:rtl w:val="0"/>
        </w:rPr>
      </w:r>
    </w:p>
    <w:p w:rsidR="00000000" w:rsidDel="00000000" w:rsidP="00000000" w:rsidRDefault="00000000" w:rsidRPr="00000000" w14:paraId="0000021E">
      <w:pPr>
        <w:numPr>
          <w:ilvl w:val="0"/>
          <w:numId w:val="2"/>
        </w:numPr>
        <w:spacing w:before="320" w:lineRule="auto"/>
        <w:ind w:left="720" w:hanging="360"/>
        <w:rPr>
          <w:sz w:val="24"/>
          <w:szCs w:val="24"/>
          <w:u w:val="none"/>
        </w:rPr>
      </w:pPr>
      <w:r w:rsidDel="00000000" w:rsidR="00000000" w:rsidRPr="00000000">
        <w:rPr>
          <w:color w:val="000000"/>
          <w:sz w:val="24"/>
          <w:szCs w:val="24"/>
          <w:rtl w:val="0"/>
        </w:rPr>
        <w:t xml:space="preserve">Sharing college-level summaries with academic deans to support focused conversations about program needs and trends.</w:t>
      </w:r>
      <w:r w:rsidDel="00000000" w:rsidR="00000000" w:rsidRPr="00000000">
        <w:rPr>
          <w:rtl w:val="0"/>
        </w:rPr>
      </w:r>
    </w:p>
    <w:p w:rsidR="00000000" w:rsidDel="00000000" w:rsidP="00000000" w:rsidRDefault="00000000" w:rsidRPr="00000000" w14:paraId="0000021F">
      <w:pPr>
        <w:numPr>
          <w:ilvl w:val="0"/>
          <w:numId w:val="2"/>
        </w:numPr>
        <w:spacing w:after="320" w:lineRule="auto"/>
        <w:ind w:left="720" w:hanging="360"/>
        <w:rPr>
          <w:color w:val="000000"/>
          <w:sz w:val="24"/>
          <w:szCs w:val="24"/>
          <w:u w:val="none"/>
        </w:rPr>
      </w:pPr>
      <w:r w:rsidDel="00000000" w:rsidR="00000000" w:rsidRPr="00000000">
        <w:rPr>
          <w:color w:val="000000"/>
          <w:sz w:val="24"/>
          <w:szCs w:val="24"/>
          <w:rtl w:val="0"/>
        </w:rPr>
        <w:t xml:space="preserve">Reestablishing SLAC as a formal reviewer of program-level reports</w:t>
      </w:r>
      <w:r w:rsidDel="00000000" w:rsidR="00000000" w:rsidRPr="00000000">
        <w:rPr>
          <w:rtl w:val="0"/>
        </w:rPr>
      </w:r>
    </w:p>
    <w:p w:rsidR="00000000" w:rsidDel="00000000" w:rsidP="00000000" w:rsidRDefault="00000000" w:rsidRPr="00000000" w14:paraId="00000220">
      <w:pPr>
        <w:pStyle w:val="Heading4"/>
        <w:spacing w:after="0" w:lineRule="auto"/>
        <w:rPr/>
      </w:pPr>
      <w:bookmarkStart w:colFirst="0" w:colLast="0" w:name="_72xmc16zy9hv" w:id="57"/>
      <w:bookmarkEnd w:id="57"/>
      <w:r w:rsidDel="00000000" w:rsidR="00000000" w:rsidRPr="00000000">
        <w:rPr>
          <w:rtl w:val="0"/>
        </w:rPr>
        <w:t xml:space="preserve">Action Steps for 2024–25</w:t>
      </w:r>
    </w:p>
    <w:p w:rsidR="00000000" w:rsidDel="00000000" w:rsidP="00000000" w:rsidRDefault="00000000" w:rsidRPr="00000000" w14:paraId="00000221">
      <w:pPr>
        <w:rPr>
          <w:sz w:val="24"/>
          <w:szCs w:val="24"/>
        </w:rPr>
      </w:pPr>
      <w:r w:rsidDel="00000000" w:rsidR="00000000" w:rsidRPr="00000000">
        <w:rPr>
          <w:color w:val="000000"/>
          <w:sz w:val="24"/>
          <w:szCs w:val="24"/>
          <w:rtl w:val="0"/>
        </w:rPr>
        <w:t xml:space="preserve">To strengthen program-level assessment use and visibility, NSU will implement the following steps during the next assessment cycle:</w:t>
      </w:r>
      <w:r w:rsidDel="00000000" w:rsidR="00000000" w:rsidRPr="00000000">
        <w:rPr>
          <w:rtl w:val="0"/>
        </w:rPr>
      </w:r>
    </w:p>
    <w:p w:rsidR="00000000" w:rsidDel="00000000" w:rsidP="00000000" w:rsidRDefault="00000000" w:rsidRPr="00000000" w14:paraId="00000222">
      <w:pPr>
        <w:numPr>
          <w:ilvl w:val="0"/>
          <w:numId w:val="3"/>
        </w:numPr>
        <w:spacing w:before="320" w:lineRule="auto"/>
        <w:ind w:left="720" w:hanging="360"/>
        <w:rPr>
          <w:color w:val="000000"/>
          <w:sz w:val="24"/>
          <w:szCs w:val="24"/>
          <w:u w:val="none"/>
        </w:rPr>
      </w:pPr>
      <w:r w:rsidDel="00000000" w:rsidR="00000000" w:rsidRPr="00000000">
        <w:rPr>
          <w:color w:val="000000"/>
          <w:sz w:val="24"/>
          <w:szCs w:val="24"/>
          <w:rtl w:val="0"/>
        </w:rPr>
        <w:t xml:space="preserve">Reestablish the Student Learning Assessment Committee (SLAC) as a reviewer of program assessment reports to support faculty-led evaluation and feedback.</w:t>
      </w:r>
      <w:r w:rsidDel="00000000" w:rsidR="00000000" w:rsidRPr="00000000">
        <w:rPr>
          <w:rtl w:val="0"/>
        </w:rPr>
      </w:r>
    </w:p>
    <w:p w:rsidR="00000000" w:rsidDel="00000000" w:rsidP="00000000" w:rsidRDefault="00000000" w:rsidRPr="00000000" w14:paraId="00000223">
      <w:pPr>
        <w:numPr>
          <w:ilvl w:val="0"/>
          <w:numId w:val="3"/>
        </w:numPr>
        <w:ind w:left="720" w:hanging="360"/>
        <w:rPr>
          <w:color w:val="000000"/>
          <w:sz w:val="24"/>
          <w:szCs w:val="24"/>
          <w:u w:val="none"/>
        </w:rPr>
      </w:pPr>
      <w:r w:rsidDel="00000000" w:rsidR="00000000" w:rsidRPr="00000000">
        <w:rPr>
          <w:color w:val="000000"/>
          <w:sz w:val="24"/>
          <w:szCs w:val="24"/>
          <w:rtl w:val="0"/>
        </w:rPr>
        <w:t xml:space="preserve">Provide academic deans with college-level summaries of assessment results, including outcomes reported as "Not Met," to support internal conversations.</w:t>
      </w:r>
      <w:r w:rsidDel="00000000" w:rsidR="00000000" w:rsidRPr="00000000">
        <w:rPr>
          <w:rtl w:val="0"/>
        </w:rPr>
      </w:r>
    </w:p>
    <w:p w:rsidR="00000000" w:rsidDel="00000000" w:rsidP="00000000" w:rsidRDefault="00000000" w:rsidRPr="00000000" w14:paraId="00000224">
      <w:pPr>
        <w:numPr>
          <w:ilvl w:val="0"/>
          <w:numId w:val="3"/>
        </w:numPr>
        <w:spacing w:after="320" w:lineRule="auto"/>
        <w:ind w:left="720" w:hanging="360"/>
        <w:rPr>
          <w:color w:val="000000"/>
          <w:sz w:val="24"/>
          <w:szCs w:val="24"/>
          <w:u w:val="none"/>
        </w:rPr>
      </w:pPr>
      <w:r w:rsidDel="00000000" w:rsidR="00000000" w:rsidRPr="00000000">
        <w:rPr>
          <w:color w:val="000000"/>
          <w:sz w:val="24"/>
          <w:szCs w:val="24"/>
          <w:rtl w:val="0"/>
        </w:rPr>
        <w:t xml:space="preserve">Include a narrative from each college in the 2024–25 institutional report reflecting those discussions and demonstrating shared ownership of assessment use.</w:t>
      </w:r>
      <w:r w:rsidDel="00000000" w:rsidR="00000000" w:rsidRPr="00000000">
        <w:rPr>
          <w:rtl w:val="0"/>
        </w:rPr>
      </w:r>
    </w:p>
    <w:p w:rsidR="00000000" w:rsidDel="00000000" w:rsidP="00000000" w:rsidRDefault="00000000" w:rsidRPr="00000000" w14:paraId="00000225">
      <w:pPr>
        <w:spacing w:after="320" w:lineRule="auto"/>
        <w:rPr/>
        <w:sectPr>
          <w:type w:val="nextPage"/>
          <w:pgSz w:h="15840" w:w="12240" w:orient="portrait"/>
          <w:pgMar w:bottom="1800" w:top="2160" w:left="1080" w:right="1080" w:header="708" w:footer="708"/>
        </w:sectPr>
      </w:pPr>
      <w:r w:rsidDel="00000000" w:rsidR="00000000" w:rsidRPr="00000000">
        <w:rPr>
          <w:rtl w:val="0"/>
        </w:rPr>
        <w:t xml:space="preserve">Because 2023–24 was NSU’s first structured data collection cycle using Watermark Planning &amp; Self-Study, efforts focused on building infrastructure and setting consistent expectations. The 2024–25 cycle will launch formal follow-up, feedback, and integration into academic planning.</w:t>
      </w:r>
    </w:p>
    <w:p w:rsidR="00000000" w:rsidDel="00000000" w:rsidP="00000000" w:rsidRDefault="00000000" w:rsidRPr="00000000" w14:paraId="00000226">
      <w:pPr>
        <w:pStyle w:val="Heading2"/>
        <w:spacing w:after="320" w:lineRule="auto"/>
        <w:rPr/>
      </w:pPr>
      <w:bookmarkStart w:colFirst="0" w:colLast="0" w:name="_ljnfqzabez5b" w:id="58"/>
      <w:bookmarkEnd w:id="58"/>
      <w:r w:rsidDel="00000000" w:rsidR="00000000" w:rsidRPr="00000000">
        <w:rPr>
          <w:rtl w:val="0"/>
        </w:rPr>
        <w:t xml:space="preserve">Section IV – Student Engagement and Satisfaction</w:t>
      </w:r>
    </w:p>
    <w:p w:rsidR="00000000" w:rsidDel="00000000" w:rsidP="00000000" w:rsidRDefault="00000000" w:rsidRPr="00000000" w14:paraId="00000227">
      <w:pPr>
        <w:pStyle w:val="Heading3"/>
        <w:spacing w:after="0" w:lineRule="auto"/>
        <w:rPr/>
      </w:pPr>
      <w:r w:rsidDel="00000000" w:rsidR="00000000" w:rsidRPr="00000000">
        <w:rPr>
          <w:rtl w:val="0"/>
        </w:rPr>
        <w:t xml:space="preserve">IV-1 What assessments were used, and how were the students selected?</w:t>
      </w:r>
    </w:p>
    <w:p w:rsidR="00000000" w:rsidDel="00000000" w:rsidP="00000000" w:rsidRDefault="00000000" w:rsidRPr="00000000" w14:paraId="00000228">
      <w:pPr>
        <w:spacing w:after="200" w:lineRule="auto"/>
        <w:rPr>
          <w:sz w:val="24"/>
          <w:szCs w:val="24"/>
        </w:rPr>
      </w:pPr>
      <w:r w:rsidDel="00000000" w:rsidR="00000000" w:rsidRPr="00000000">
        <w:rPr>
          <w:color w:val="000000"/>
          <w:sz w:val="24"/>
          <w:szCs w:val="24"/>
          <w:rtl w:val="0"/>
        </w:rPr>
        <w:t xml:space="preserve">Northeastern State University uses an internal Student Evaluation of Classes as a measure of student satisfaction.</w:t>
      </w:r>
      <w:r w:rsidDel="00000000" w:rsidR="00000000" w:rsidRPr="00000000">
        <w:rPr>
          <w:rtl w:val="0"/>
        </w:rPr>
      </w:r>
    </w:p>
    <w:p w:rsidR="00000000" w:rsidDel="00000000" w:rsidP="00000000" w:rsidRDefault="00000000" w:rsidRPr="00000000" w14:paraId="00000229">
      <w:pPr>
        <w:rPr>
          <w:sz w:val="24"/>
          <w:szCs w:val="24"/>
        </w:rPr>
      </w:pPr>
      <w:r w:rsidDel="00000000" w:rsidR="00000000" w:rsidRPr="00000000">
        <w:rPr>
          <w:color w:val="000000"/>
          <w:sz w:val="24"/>
          <w:szCs w:val="24"/>
          <w:rtl w:val="0"/>
        </w:rPr>
        <w:t xml:space="preserve">Course evaluations are administered via Watermark's Course Evaluations and Surveys, and the Office of Institutional Effectiveness tabulates summaries.  The reports are then forwarded to the respective Deans. Deans review and distribute the evaluations to the chairs, who, in turn, review the results with individual faculty. With the online system, students from each class are contacted via email and receive a link to an online evaluation to complete.  Faculty can access their course evaluations two days after grades are submitted through a dashboard in the system.  Course changes are continually made in response to ongoing feedback from student evaluations.  See Table IV-2 for course satisfaction evaluation data.</w:t>
      </w:r>
      <w:r w:rsidDel="00000000" w:rsidR="00000000" w:rsidRPr="00000000">
        <w:rPr>
          <w:rtl w:val="0"/>
        </w:rPr>
      </w:r>
    </w:p>
    <w:p w:rsidR="00000000" w:rsidDel="00000000" w:rsidP="00000000" w:rsidRDefault="00000000" w:rsidRPr="00000000" w14:paraId="0000022A">
      <w:pPr>
        <w:pStyle w:val="Heading3"/>
        <w:spacing w:after="0" w:lineRule="auto"/>
        <w:rPr/>
      </w:pPr>
      <w:r w:rsidDel="00000000" w:rsidR="00000000" w:rsidRPr="00000000">
        <w:rPr>
          <w:rtl w:val="0"/>
        </w:rPr>
        <w:t xml:space="preserve">IV-2 What were the analyses and findings from the student engagement and satisfaction assessment?</w:t>
      </w:r>
    </w:p>
    <w:p w:rsidR="00000000" w:rsidDel="00000000" w:rsidP="00000000" w:rsidRDefault="00000000" w:rsidRPr="00000000" w14:paraId="0000022B">
      <w:pPr>
        <w:spacing w:after="200" w:lineRule="auto"/>
        <w:rPr>
          <w:color w:val="000000"/>
          <w:sz w:val="24"/>
          <w:szCs w:val="24"/>
        </w:rPr>
      </w:pPr>
      <w:r w:rsidDel="00000000" w:rsidR="00000000" w:rsidRPr="00000000">
        <w:rPr>
          <w:color w:val="000000"/>
          <w:sz w:val="24"/>
          <w:szCs w:val="24"/>
          <w:rtl w:val="0"/>
        </w:rPr>
        <w:t xml:space="preserve">Student evaluations of courses/instructors show overall satisfaction.  During the Fall of 2023, 10,382 evaluations of faculty instructors were collected.  A total of 1,204 classes were evaluated, representing 365 different faculty members.  During the Spring of 2024, 8,647 evaluations of faculty instructors were collected.  A total of 1,120 classes were evaluated, representing 344 different faculty members.  The first ten questions ask students to rate various course components, including the course syllabus, objectives, course organization, instructor communication, and teaching methods.  Question 10 allows the student to "agree" or "disagree" with the statement that "the class was excellent".  The average rating of item 10 for all faculty members was 4.31/5.00 in Fall 2023 and 4.39/5.00 in Spring 2024.</w:t>
      </w:r>
      <w:r w:rsidDel="00000000" w:rsidR="00000000" w:rsidRPr="00000000">
        <w:rPr>
          <w:rtl w:val="0"/>
        </w:rPr>
        <w:t xml:space="preserve"> </w:t>
      </w:r>
      <w:r w:rsidDel="00000000" w:rsidR="00000000" w:rsidRPr="00000000">
        <w:rPr>
          <w:color w:val="000000"/>
          <w:sz w:val="24"/>
          <w:szCs w:val="24"/>
          <w:rtl w:val="0"/>
        </w:rPr>
        <w:t xml:space="preserve">Course evaluation data are reported in Table IV-2 below.</w:t>
      </w:r>
    </w:p>
    <w:p w:rsidR="00000000" w:rsidDel="00000000" w:rsidP="00000000" w:rsidRDefault="00000000" w:rsidRPr="00000000" w14:paraId="0000022C">
      <w:pPr>
        <w:spacing w:after="0" w:lineRule="auto"/>
        <w:rPr>
          <w:b w:val="1"/>
          <w:bCs w:val="1"/>
          <w:sz w:val="24"/>
          <w:szCs w:val="24"/>
        </w:rPr>
      </w:pPr>
      <w:r w:rsidDel="00000000" w:rsidR="00000000" w:rsidRPr="00000000">
        <w:rPr>
          <w:b w:val="1"/>
          <w:bCs w:val="1"/>
          <w:color w:val="000000"/>
          <w:sz w:val="24"/>
          <w:szCs w:val="24"/>
          <w:rtl w:val="0"/>
        </w:rPr>
        <w:t xml:space="preserve">Table IV-2: Student Evaluation of Course / Teaching Effectiveness</w:t>
      </w:r>
      <w:r w:rsidDel="00000000" w:rsidR="00000000" w:rsidRPr="00000000">
        <w:rPr>
          <w:rtl w:val="0"/>
        </w:rPr>
      </w:r>
    </w:p>
    <w:tbl>
      <w:tblPr>
        <w:tblStyle w:val="Table4"/>
        <w:tblW w:w="9065.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2582"/>
        <w:gridCol w:w="2125"/>
        <w:gridCol w:w="2125"/>
        <w:gridCol w:w="2233"/>
        <w:tblGridChange w:id="0">
          <w:tblGrid>
            <w:gridCol w:w="2582"/>
            <w:gridCol w:w="2125"/>
            <w:gridCol w:w="2125"/>
            <w:gridCol w:w="2233"/>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2D">
            <w:pPr>
              <w:rPr>
                <w:sz w:val="24"/>
                <w:szCs w:val="24"/>
              </w:rPr>
            </w:pPr>
            <w:r w:rsidDel="00000000" w:rsidR="00000000" w:rsidRPr="00000000">
              <w:rPr>
                <w:b w:val="1"/>
                <w:bCs w:val="1"/>
                <w:color w:val="000000"/>
                <w:sz w:val="24"/>
                <w:szCs w:val="24"/>
                <w:rtl w:val="0"/>
              </w:rPr>
              <w:t xml:space="preserve">F</w:t>
            </w:r>
            <w:r w:rsidDel="00000000" w:rsidR="00000000" w:rsidRPr="00000000">
              <w:rPr>
                <w:b w:val="1"/>
                <w:bCs w:val="1"/>
                <w:rtl w:val="0"/>
              </w:rPr>
              <w:t xml:space="preserve">all</w:t>
            </w:r>
            <w:r w:rsidDel="00000000" w:rsidR="00000000" w:rsidRPr="00000000">
              <w:rPr>
                <w:b w:val="1"/>
                <w:bCs w:val="1"/>
                <w:color w:val="000000"/>
                <w:sz w:val="24"/>
                <w:szCs w:val="24"/>
                <w:rtl w:val="0"/>
              </w:rPr>
              <w:t xml:space="preserve"> 2023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2E">
            <w:pPr>
              <w:rPr>
                <w:sz w:val="24"/>
                <w:szCs w:val="24"/>
              </w:rPr>
            </w:pPr>
            <w:r w:rsidDel="00000000" w:rsidR="00000000" w:rsidRPr="00000000">
              <w:rPr>
                <w:b w:val="1"/>
                <w:bCs w:val="1"/>
                <w:color w:val="000000"/>
                <w:sz w:val="24"/>
                <w:szCs w:val="24"/>
                <w:rtl w:val="0"/>
              </w:rPr>
              <w:t xml:space="preserve">Number of classes evaluated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2F">
            <w:pPr>
              <w:rPr>
                <w:sz w:val="24"/>
                <w:szCs w:val="24"/>
              </w:rPr>
            </w:pPr>
            <w:r w:rsidDel="00000000" w:rsidR="00000000" w:rsidRPr="00000000">
              <w:rPr>
                <w:b w:val="1"/>
                <w:bCs w:val="1"/>
                <w:color w:val="000000"/>
                <w:sz w:val="24"/>
                <w:szCs w:val="24"/>
                <w:rtl w:val="0"/>
              </w:rPr>
              <w:t xml:space="preserve">Number of faculty evaluated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0">
            <w:pPr>
              <w:rPr>
                <w:sz w:val="24"/>
                <w:szCs w:val="24"/>
              </w:rPr>
            </w:pPr>
            <w:r w:rsidDel="00000000" w:rsidR="00000000" w:rsidRPr="00000000">
              <w:rPr>
                <w:b w:val="1"/>
                <w:bCs w:val="1"/>
                <w:color w:val="000000"/>
                <w:sz w:val="24"/>
                <w:szCs w:val="24"/>
                <w:rtl w:val="0"/>
              </w:rPr>
              <w:t xml:space="preserve">Number of surveys</w:t>
            </w:r>
            <w:r w:rsidDel="00000000" w:rsidR="00000000" w:rsidRPr="00000000">
              <w:rPr>
                <w:rtl w:val="0"/>
              </w:rPr>
            </w:r>
          </w:p>
          <w:p w:rsidR="00000000" w:rsidDel="00000000" w:rsidP="00000000" w:rsidRDefault="00000000" w:rsidRPr="00000000" w14:paraId="00000231">
            <w:pPr>
              <w:rPr>
                <w:sz w:val="24"/>
                <w:szCs w:val="24"/>
              </w:rPr>
            </w:pPr>
            <w:r w:rsidDel="00000000" w:rsidR="00000000" w:rsidRPr="00000000">
              <w:rPr>
                <w:b w:val="1"/>
                <w:bCs w:val="1"/>
                <w:color w:val="000000"/>
                <w:sz w:val="24"/>
                <w:szCs w:val="24"/>
                <w:rtl w:val="0"/>
              </w:rPr>
              <w:t xml:space="preserve">completed</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2">
            <w:pPr>
              <w:rPr>
                <w:sz w:val="24"/>
                <w:szCs w:val="24"/>
              </w:rPr>
            </w:pPr>
            <w:r w:rsidDel="00000000" w:rsidR="00000000" w:rsidRPr="00000000">
              <w:rPr>
                <w:color w:val="000000"/>
                <w:sz w:val="24"/>
                <w:szCs w:val="24"/>
                <w:rtl w:val="0"/>
              </w:rPr>
              <w:t xml:space="preserve">Business &amp; Technology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3">
            <w:pPr>
              <w:rPr>
                <w:sz w:val="24"/>
                <w:szCs w:val="24"/>
              </w:rPr>
            </w:pPr>
            <w:r w:rsidDel="00000000" w:rsidR="00000000" w:rsidRPr="00000000">
              <w:rPr>
                <w:color w:val="000000"/>
                <w:sz w:val="24"/>
                <w:szCs w:val="24"/>
                <w:rtl w:val="0"/>
              </w:rPr>
              <w:t xml:space="preserve">169</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4">
            <w:pPr>
              <w:rPr>
                <w:sz w:val="24"/>
                <w:szCs w:val="24"/>
              </w:rPr>
            </w:pPr>
            <w:r w:rsidDel="00000000" w:rsidR="00000000" w:rsidRPr="00000000">
              <w:rPr>
                <w:color w:val="000000"/>
                <w:sz w:val="24"/>
                <w:szCs w:val="24"/>
                <w:rtl w:val="0"/>
              </w:rPr>
              <w:t xml:space="preserve">48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5">
            <w:pPr>
              <w:rPr>
                <w:sz w:val="24"/>
                <w:szCs w:val="24"/>
              </w:rPr>
            </w:pPr>
            <w:r w:rsidDel="00000000" w:rsidR="00000000" w:rsidRPr="00000000">
              <w:rPr>
                <w:color w:val="000000"/>
                <w:sz w:val="24"/>
                <w:szCs w:val="24"/>
                <w:rtl w:val="0"/>
              </w:rPr>
              <w:t xml:space="preserve">1,879</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6">
            <w:pPr>
              <w:rPr>
                <w:sz w:val="24"/>
                <w:szCs w:val="24"/>
              </w:rPr>
            </w:pPr>
            <w:r w:rsidDel="00000000" w:rsidR="00000000" w:rsidRPr="00000000">
              <w:rPr>
                <w:color w:val="000000"/>
                <w:sz w:val="24"/>
                <w:szCs w:val="24"/>
                <w:rtl w:val="0"/>
              </w:rPr>
              <w:t xml:space="preserve">Education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7">
            <w:pPr>
              <w:rPr>
                <w:sz w:val="24"/>
                <w:szCs w:val="24"/>
              </w:rPr>
            </w:pPr>
            <w:r w:rsidDel="00000000" w:rsidR="00000000" w:rsidRPr="00000000">
              <w:rPr>
                <w:color w:val="000000"/>
                <w:sz w:val="24"/>
                <w:szCs w:val="24"/>
                <w:rtl w:val="0"/>
              </w:rPr>
              <w:t xml:space="preserve">301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8">
            <w:pPr>
              <w:rPr>
                <w:sz w:val="24"/>
                <w:szCs w:val="24"/>
              </w:rPr>
            </w:pPr>
            <w:r w:rsidDel="00000000" w:rsidR="00000000" w:rsidRPr="00000000">
              <w:rPr>
                <w:color w:val="000000"/>
                <w:sz w:val="24"/>
                <w:szCs w:val="24"/>
                <w:rtl w:val="0"/>
              </w:rPr>
              <w:t xml:space="preserve">92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9">
            <w:pPr>
              <w:rPr>
                <w:sz w:val="24"/>
                <w:szCs w:val="24"/>
              </w:rPr>
            </w:pPr>
            <w:r w:rsidDel="00000000" w:rsidR="00000000" w:rsidRPr="00000000">
              <w:rPr>
                <w:color w:val="000000"/>
                <w:sz w:val="24"/>
                <w:szCs w:val="24"/>
                <w:rtl w:val="0"/>
              </w:rPr>
              <w:t xml:space="preserve">2,568</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A">
            <w:pPr>
              <w:rPr>
                <w:sz w:val="24"/>
                <w:szCs w:val="24"/>
              </w:rPr>
            </w:pPr>
            <w:r w:rsidDel="00000000" w:rsidR="00000000" w:rsidRPr="00000000">
              <w:rPr>
                <w:color w:val="000000"/>
                <w:sz w:val="24"/>
                <w:szCs w:val="24"/>
                <w:rtl w:val="0"/>
              </w:rPr>
              <w:t xml:space="preserve">Extended Learning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B">
            <w:pPr>
              <w:rPr>
                <w:sz w:val="24"/>
                <w:szCs w:val="24"/>
              </w:rPr>
            </w:pPr>
            <w:r w:rsidDel="00000000" w:rsidR="00000000" w:rsidRPr="00000000">
              <w:rPr>
                <w:color w:val="000000"/>
                <w:sz w:val="24"/>
                <w:szCs w:val="24"/>
                <w:rtl w:val="0"/>
              </w:rPr>
              <w:t xml:space="preserve">11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C">
            <w:pPr>
              <w:rPr>
                <w:sz w:val="24"/>
                <w:szCs w:val="24"/>
              </w:rPr>
            </w:pPr>
            <w:r w:rsidDel="00000000" w:rsidR="00000000" w:rsidRPr="00000000">
              <w:rPr>
                <w:color w:val="000000"/>
                <w:sz w:val="24"/>
                <w:szCs w:val="24"/>
                <w:rtl w:val="0"/>
              </w:rPr>
              <w:t xml:space="preserve">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D">
            <w:pPr>
              <w:rPr>
                <w:sz w:val="24"/>
                <w:szCs w:val="24"/>
              </w:rPr>
            </w:pPr>
            <w:r w:rsidDel="00000000" w:rsidR="00000000" w:rsidRPr="00000000">
              <w:rPr>
                <w:color w:val="000000"/>
                <w:sz w:val="24"/>
                <w:szCs w:val="24"/>
                <w:rtl w:val="0"/>
              </w:rPr>
              <w:t xml:space="preserve">123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E">
            <w:pPr>
              <w:rPr>
                <w:sz w:val="24"/>
                <w:szCs w:val="24"/>
              </w:rPr>
            </w:pPr>
            <w:r w:rsidDel="00000000" w:rsidR="00000000" w:rsidRPr="00000000">
              <w:rPr>
                <w:color w:val="000000"/>
                <w:sz w:val="24"/>
                <w:szCs w:val="24"/>
                <w:rtl w:val="0"/>
              </w:rPr>
              <w:t xml:space="preserve">Liberal Arts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3F">
            <w:pPr>
              <w:rPr>
                <w:sz w:val="24"/>
                <w:szCs w:val="24"/>
              </w:rPr>
            </w:pPr>
            <w:r w:rsidDel="00000000" w:rsidR="00000000" w:rsidRPr="00000000">
              <w:rPr>
                <w:color w:val="000000"/>
                <w:sz w:val="24"/>
                <w:szCs w:val="24"/>
                <w:rtl w:val="0"/>
              </w:rPr>
              <w:t xml:space="preserve">428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0">
            <w:pPr>
              <w:rPr>
                <w:sz w:val="24"/>
                <w:szCs w:val="24"/>
              </w:rPr>
            </w:pPr>
            <w:r w:rsidDel="00000000" w:rsidR="00000000" w:rsidRPr="00000000">
              <w:rPr>
                <w:color w:val="000000"/>
                <w:sz w:val="24"/>
                <w:szCs w:val="24"/>
                <w:rtl w:val="0"/>
              </w:rPr>
              <w:t xml:space="preserve">138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1">
            <w:pPr>
              <w:rPr>
                <w:sz w:val="24"/>
                <w:szCs w:val="24"/>
              </w:rPr>
            </w:pPr>
            <w:r w:rsidDel="00000000" w:rsidR="00000000" w:rsidRPr="00000000">
              <w:rPr>
                <w:color w:val="000000"/>
                <w:sz w:val="24"/>
                <w:szCs w:val="24"/>
                <w:rtl w:val="0"/>
              </w:rPr>
              <w:t xml:space="preserve">3,225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2">
            <w:pPr>
              <w:rPr>
                <w:sz w:val="24"/>
                <w:szCs w:val="24"/>
              </w:rPr>
            </w:pPr>
            <w:r w:rsidDel="00000000" w:rsidR="00000000" w:rsidRPr="00000000">
              <w:rPr>
                <w:color w:val="000000"/>
                <w:sz w:val="24"/>
                <w:szCs w:val="24"/>
                <w:rtl w:val="0"/>
              </w:rPr>
              <w:t xml:space="preserve">Optometry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3">
            <w:pPr>
              <w:rPr>
                <w:sz w:val="24"/>
                <w:szCs w:val="24"/>
              </w:rPr>
            </w:pPr>
            <w:r w:rsidDel="00000000" w:rsidR="00000000" w:rsidRPr="00000000">
              <w:rPr>
                <w:color w:val="000000"/>
                <w:sz w:val="24"/>
                <w:szCs w:val="24"/>
                <w:rtl w:val="0"/>
              </w:rPr>
              <w:t xml:space="preserve">22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4">
            <w:pPr>
              <w:rPr>
                <w:sz w:val="24"/>
                <w:szCs w:val="24"/>
              </w:rPr>
            </w:pPr>
            <w:r w:rsidDel="00000000" w:rsidR="00000000" w:rsidRPr="00000000">
              <w:rPr>
                <w:color w:val="000000"/>
                <w:sz w:val="24"/>
                <w:szCs w:val="24"/>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5">
            <w:pPr>
              <w:rPr>
                <w:sz w:val="24"/>
                <w:szCs w:val="24"/>
              </w:rPr>
            </w:pPr>
            <w:r w:rsidDel="00000000" w:rsidR="00000000" w:rsidRPr="00000000">
              <w:rPr>
                <w:color w:val="000000"/>
                <w:sz w:val="24"/>
                <w:szCs w:val="24"/>
                <w:rtl w:val="0"/>
              </w:rPr>
              <w:t xml:space="preserve">318</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6">
            <w:pPr>
              <w:rPr>
                <w:sz w:val="24"/>
                <w:szCs w:val="24"/>
              </w:rPr>
            </w:pPr>
            <w:r w:rsidDel="00000000" w:rsidR="00000000" w:rsidRPr="00000000">
              <w:rPr>
                <w:color w:val="000000"/>
                <w:sz w:val="24"/>
                <w:szCs w:val="24"/>
                <w:rtl w:val="0"/>
              </w:rPr>
              <w:t xml:space="preserve">Science &amp; Health Prof.</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7">
            <w:pPr>
              <w:rPr>
                <w:sz w:val="24"/>
                <w:szCs w:val="24"/>
              </w:rPr>
            </w:pPr>
            <w:r w:rsidDel="00000000" w:rsidR="00000000" w:rsidRPr="00000000">
              <w:rPr>
                <w:color w:val="000000"/>
                <w:sz w:val="24"/>
                <w:szCs w:val="24"/>
                <w:rtl w:val="0"/>
              </w:rPr>
              <w:t xml:space="preserve">273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8">
            <w:pPr>
              <w:rPr>
                <w:sz w:val="24"/>
                <w:szCs w:val="24"/>
              </w:rPr>
            </w:pPr>
            <w:r w:rsidDel="00000000" w:rsidR="00000000" w:rsidRPr="00000000">
              <w:rPr>
                <w:color w:val="000000"/>
                <w:sz w:val="24"/>
                <w:szCs w:val="24"/>
                <w:rtl w:val="0"/>
              </w:rPr>
              <w:t xml:space="preserve">83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9">
            <w:pPr>
              <w:rPr>
                <w:sz w:val="24"/>
                <w:szCs w:val="24"/>
              </w:rPr>
            </w:pPr>
            <w:r w:rsidDel="00000000" w:rsidR="00000000" w:rsidRPr="00000000">
              <w:rPr>
                <w:color w:val="000000"/>
                <w:sz w:val="24"/>
                <w:szCs w:val="24"/>
                <w:rtl w:val="0"/>
              </w:rPr>
              <w:t xml:space="preserve">2,269</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A">
            <w:pPr>
              <w:rPr>
                <w:sz w:val="24"/>
                <w:szCs w:val="24"/>
              </w:rPr>
            </w:pPr>
            <w:r w:rsidDel="00000000" w:rsidR="00000000" w:rsidRPr="00000000">
              <w:rPr>
                <w:b w:val="1"/>
                <w:bCs w:val="1"/>
                <w:rtl w:val="0"/>
              </w:rPr>
              <w:t xml:space="preserve">Total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B">
            <w:pPr>
              <w:rPr>
                <w:sz w:val="24"/>
                <w:szCs w:val="24"/>
              </w:rPr>
            </w:pPr>
            <w:r w:rsidDel="00000000" w:rsidR="00000000" w:rsidRPr="00000000">
              <w:rPr>
                <w:b w:val="1"/>
                <w:bCs w:val="1"/>
                <w:color w:val="000000"/>
                <w:sz w:val="24"/>
                <w:szCs w:val="24"/>
                <w:rtl w:val="0"/>
              </w:rPr>
              <w:t xml:space="preserve">1,204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C">
            <w:pPr>
              <w:rPr>
                <w:sz w:val="24"/>
                <w:szCs w:val="24"/>
              </w:rPr>
            </w:pPr>
            <w:r w:rsidDel="00000000" w:rsidR="00000000" w:rsidRPr="00000000">
              <w:rPr>
                <w:b w:val="1"/>
                <w:bCs w:val="1"/>
                <w:color w:val="000000"/>
                <w:sz w:val="24"/>
                <w:szCs w:val="24"/>
                <w:rtl w:val="0"/>
              </w:rPr>
              <w:t xml:space="preserve">365*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D">
            <w:pPr>
              <w:rPr>
                <w:sz w:val="24"/>
                <w:szCs w:val="24"/>
              </w:rPr>
            </w:pPr>
            <w:r w:rsidDel="00000000" w:rsidR="00000000" w:rsidRPr="00000000">
              <w:rPr>
                <w:b w:val="1"/>
                <w:bCs w:val="1"/>
                <w:color w:val="000000"/>
                <w:sz w:val="24"/>
                <w:szCs w:val="24"/>
                <w:rtl w:val="0"/>
              </w:rPr>
              <w:t xml:space="preserve">10,382</w:t>
            </w:r>
            <w:r w:rsidDel="00000000" w:rsidR="00000000" w:rsidRPr="00000000">
              <w:rPr>
                <w:rtl w:val="0"/>
              </w:rPr>
            </w:r>
          </w:p>
        </w:tc>
      </w:tr>
    </w:tbl>
    <w:p w:rsidR="00000000" w:rsidDel="00000000" w:rsidP="00000000" w:rsidRDefault="00000000" w:rsidRPr="00000000" w14:paraId="0000024E">
      <w:pPr>
        <w:spacing w:after="200" w:lineRule="auto"/>
        <w:rPr>
          <w:sz w:val="24"/>
          <w:szCs w:val="24"/>
        </w:rPr>
      </w:pPr>
      <w:r w:rsidDel="00000000" w:rsidR="00000000" w:rsidRPr="00000000">
        <w:rPr>
          <w:color w:val="000000"/>
          <w:sz w:val="24"/>
          <w:szCs w:val="24"/>
          <w:rtl w:val="0"/>
        </w:rPr>
        <w:t xml:space="preserve">*Faculty members may be evaluated in two different colleges</w:t>
      </w:r>
      <w:r w:rsidDel="00000000" w:rsidR="00000000" w:rsidRPr="00000000">
        <w:rPr>
          <w:rtl w:val="0"/>
        </w:rPr>
      </w:r>
    </w:p>
    <w:tbl>
      <w:tblPr>
        <w:tblStyle w:val="Table5"/>
        <w:tblW w:w="9065.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2582"/>
        <w:gridCol w:w="2125"/>
        <w:gridCol w:w="2125"/>
        <w:gridCol w:w="2233"/>
        <w:tblGridChange w:id="0">
          <w:tblGrid>
            <w:gridCol w:w="2582"/>
            <w:gridCol w:w="2125"/>
            <w:gridCol w:w="2125"/>
            <w:gridCol w:w="2233"/>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4F">
            <w:pPr>
              <w:rPr>
                <w:sz w:val="24"/>
                <w:szCs w:val="24"/>
              </w:rPr>
            </w:pPr>
            <w:r w:rsidDel="00000000" w:rsidR="00000000" w:rsidRPr="00000000">
              <w:rPr>
                <w:b w:val="1"/>
                <w:bCs w:val="1"/>
                <w:rtl w:val="0"/>
              </w:rPr>
              <w:t xml:space="preserve">Spring </w:t>
            </w:r>
            <w:r w:rsidDel="00000000" w:rsidR="00000000" w:rsidRPr="00000000">
              <w:rPr>
                <w:b w:val="1"/>
                <w:bCs w:val="1"/>
                <w:color w:val="000000"/>
                <w:sz w:val="24"/>
                <w:szCs w:val="24"/>
                <w:rtl w:val="0"/>
              </w:rPr>
              <w:t xml:space="preserve">2024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0">
            <w:pPr>
              <w:rPr>
                <w:sz w:val="24"/>
                <w:szCs w:val="24"/>
              </w:rPr>
            </w:pPr>
            <w:r w:rsidDel="00000000" w:rsidR="00000000" w:rsidRPr="00000000">
              <w:rPr>
                <w:b w:val="1"/>
                <w:bCs w:val="1"/>
                <w:color w:val="000000"/>
                <w:sz w:val="24"/>
                <w:szCs w:val="24"/>
                <w:rtl w:val="0"/>
              </w:rPr>
              <w:t xml:space="preserve">Number of classes evaluated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1">
            <w:pPr>
              <w:rPr>
                <w:sz w:val="24"/>
                <w:szCs w:val="24"/>
              </w:rPr>
            </w:pPr>
            <w:r w:rsidDel="00000000" w:rsidR="00000000" w:rsidRPr="00000000">
              <w:rPr>
                <w:b w:val="1"/>
                <w:bCs w:val="1"/>
                <w:color w:val="000000"/>
                <w:sz w:val="24"/>
                <w:szCs w:val="24"/>
                <w:rtl w:val="0"/>
              </w:rPr>
              <w:t xml:space="preserve">Number of faculty evaluated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2">
            <w:pPr>
              <w:rPr>
                <w:sz w:val="24"/>
                <w:szCs w:val="24"/>
              </w:rPr>
            </w:pPr>
            <w:r w:rsidDel="00000000" w:rsidR="00000000" w:rsidRPr="00000000">
              <w:rPr>
                <w:b w:val="1"/>
                <w:bCs w:val="1"/>
                <w:color w:val="000000"/>
                <w:sz w:val="24"/>
                <w:szCs w:val="24"/>
                <w:rtl w:val="0"/>
              </w:rPr>
              <w:t xml:space="preserve">Number of surveys</w:t>
            </w:r>
            <w:r w:rsidDel="00000000" w:rsidR="00000000" w:rsidRPr="00000000">
              <w:rPr>
                <w:rtl w:val="0"/>
              </w:rPr>
            </w:r>
          </w:p>
          <w:p w:rsidR="00000000" w:rsidDel="00000000" w:rsidP="00000000" w:rsidRDefault="00000000" w:rsidRPr="00000000" w14:paraId="00000253">
            <w:pPr>
              <w:rPr>
                <w:sz w:val="24"/>
                <w:szCs w:val="24"/>
              </w:rPr>
            </w:pPr>
            <w:r w:rsidDel="00000000" w:rsidR="00000000" w:rsidRPr="00000000">
              <w:rPr>
                <w:b w:val="1"/>
                <w:bCs w:val="1"/>
                <w:color w:val="000000"/>
                <w:sz w:val="24"/>
                <w:szCs w:val="24"/>
                <w:rtl w:val="0"/>
              </w:rPr>
              <w:t xml:space="preserve">completed</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4">
            <w:pPr>
              <w:rPr>
                <w:sz w:val="24"/>
                <w:szCs w:val="24"/>
              </w:rPr>
            </w:pPr>
            <w:r w:rsidDel="00000000" w:rsidR="00000000" w:rsidRPr="00000000">
              <w:rPr>
                <w:color w:val="000000"/>
                <w:sz w:val="24"/>
                <w:szCs w:val="24"/>
                <w:rtl w:val="0"/>
              </w:rPr>
              <w:t xml:space="preserve">Business &amp; Technology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5">
            <w:pPr>
              <w:rPr>
                <w:sz w:val="24"/>
                <w:szCs w:val="24"/>
              </w:rPr>
            </w:pPr>
            <w:r w:rsidDel="00000000" w:rsidR="00000000" w:rsidRPr="00000000">
              <w:rPr>
                <w:color w:val="000000"/>
                <w:sz w:val="24"/>
                <w:szCs w:val="24"/>
                <w:rtl w:val="0"/>
              </w:rPr>
              <w:t xml:space="preserve">178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6">
            <w:pPr>
              <w:rPr>
                <w:sz w:val="24"/>
                <w:szCs w:val="24"/>
              </w:rPr>
            </w:pPr>
            <w:r w:rsidDel="00000000" w:rsidR="00000000" w:rsidRPr="00000000">
              <w:rPr>
                <w:color w:val="000000"/>
                <w:sz w:val="24"/>
                <w:szCs w:val="24"/>
                <w:rtl w:val="0"/>
              </w:rPr>
              <w:t xml:space="preserve">47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7">
            <w:pPr>
              <w:rPr>
                <w:sz w:val="24"/>
                <w:szCs w:val="24"/>
              </w:rPr>
            </w:pPr>
            <w:r w:rsidDel="00000000" w:rsidR="00000000" w:rsidRPr="00000000">
              <w:rPr>
                <w:color w:val="000000"/>
                <w:sz w:val="24"/>
                <w:szCs w:val="24"/>
                <w:rtl w:val="0"/>
              </w:rPr>
              <w:t xml:space="preserve">1,965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8">
            <w:pPr>
              <w:rPr>
                <w:sz w:val="24"/>
                <w:szCs w:val="24"/>
              </w:rPr>
            </w:pPr>
            <w:r w:rsidDel="00000000" w:rsidR="00000000" w:rsidRPr="00000000">
              <w:rPr>
                <w:color w:val="000000"/>
                <w:sz w:val="24"/>
                <w:szCs w:val="24"/>
                <w:rtl w:val="0"/>
              </w:rPr>
              <w:t xml:space="preserve">Education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9">
            <w:pPr>
              <w:rPr>
                <w:sz w:val="24"/>
                <w:szCs w:val="24"/>
              </w:rPr>
            </w:pPr>
            <w:r w:rsidDel="00000000" w:rsidR="00000000" w:rsidRPr="00000000">
              <w:rPr>
                <w:color w:val="000000"/>
                <w:sz w:val="24"/>
                <w:szCs w:val="24"/>
                <w:rtl w:val="0"/>
              </w:rPr>
              <w:t xml:space="preserve">296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A">
            <w:pPr>
              <w:rPr>
                <w:sz w:val="24"/>
                <w:szCs w:val="24"/>
              </w:rPr>
            </w:pPr>
            <w:r w:rsidDel="00000000" w:rsidR="00000000" w:rsidRPr="00000000">
              <w:rPr>
                <w:color w:val="000000"/>
                <w:sz w:val="24"/>
                <w:szCs w:val="24"/>
                <w:rtl w:val="0"/>
              </w:rPr>
              <w:t xml:space="preserve">87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B">
            <w:pPr>
              <w:rPr>
                <w:sz w:val="24"/>
                <w:szCs w:val="24"/>
              </w:rPr>
            </w:pPr>
            <w:r w:rsidDel="00000000" w:rsidR="00000000" w:rsidRPr="00000000">
              <w:rPr>
                <w:color w:val="000000"/>
                <w:sz w:val="24"/>
                <w:szCs w:val="24"/>
                <w:rtl w:val="0"/>
              </w:rPr>
              <w:t xml:space="preserve">2,371</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C">
            <w:pPr>
              <w:rPr>
                <w:sz w:val="24"/>
                <w:szCs w:val="24"/>
              </w:rPr>
            </w:pPr>
            <w:r w:rsidDel="00000000" w:rsidR="00000000" w:rsidRPr="00000000">
              <w:rPr>
                <w:color w:val="000000"/>
                <w:sz w:val="24"/>
                <w:szCs w:val="24"/>
                <w:rtl w:val="0"/>
              </w:rPr>
              <w:t xml:space="preserve">Extended Learning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D">
            <w:pPr>
              <w:rPr>
                <w:sz w:val="24"/>
                <w:szCs w:val="24"/>
              </w:rPr>
            </w:pPr>
            <w:r w:rsidDel="00000000" w:rsidR="00000000" w:rsidRPr="00000000">
              <w:rPr>
                <w:color w:val="000000"/>
                <w:sz w:val="24"/>
                <w:szCs w:val="24"/>
                <w:rtl w:val="0"/>
              </w:rPr>
              <w:t xml:space="preserve">11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E">
            <w:pPr>
              <w:rPr>
                <w:sz w:val="24"/>
                <w:szCs w:val="24"/>
              </w:rPr>
            </w:pPr>
            <w:r w:rsidDel="00000000" w:rsidR="00000000" w:rsidRPr="00000000">
              <w:rPr>
                <w:color w:val="000000"/>
                <w:sz w:val="24"/>
                <w:szCs w:val="24"/>
                <w:rtl w:val="0"/>
              </w:rPr>
              <w:t xml:space="preserve">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5F">
            <w:pPr>
              <w:rPr>
                <w:sz w:val="24"/>
                <w:szCs w:val="24"/>
              </w:rPr>
            </w:pPr>
            <w:r w:rsidDel="00000000" w:rsidR="00000000" w:rsidRPr="00000000">
              <w:rPr>
                <w:color w:val="000000"/>
                <w:sz w:val="24"/>
                <w:szCs w:val="24"/>
                <w:rtl w:val="0"/>
              </w:rPr>
              <w:t xml:space="preserve">98</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0">
            <w:pPr>
              <w:rPr>
                <w:sz w:val="24"/>
                <w:szCs w:val="24"/>
              </w:rPr>
            </w:pPr>
            <w:r w:rsidDel="00000000" w:rsidR="00000000" w:rsidRPr="00000000">
              <w:rPr>
                <w:color w:val="000000"/>
                <w:sz w:val="24"/>
                <w:szCs w:val="24"/>
                <w:rtl w:val="0"/>
              </w:rPr>
              <w:t xml:space="preserve">Liberal Arts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1">
            <w:pPr>
              <w:rPr>
                <w:sz w:val="24"/>
                <w:szCs w:val="24"/>
              </w:rPr>
            </w:pPr>
            <w:r w:rsidDel="00000000" w:rsidR="00000000" w:rsidRPr="00000000">
              <w:rPr>
                <w:color w:val="000000"/>
                <w:sz w:val="24"/>
                <w:szCs w:val="24"/>
                <w:rtl w:val="0"/>
              </w:rPr>
              <w:t xml:space="preserve">352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2">
            <w:pPr>
              <w:rPr>
                <w:sz w:val="24"/>
                <w:szCs w:val="24"/>
              </w:rPr>
            </w:pPr>
            <w:r w:rsidDel="00000000" w:rsidR="00000000" w:rsidRPr="00000000">
              <w:rPr>
                <w:color w:val="000000"/>
                <w:sz w:val="24"/>
                <w:szCs w:val="24"/>
                <w:rtl w:val="0"/>
              </w:rPr>
              <w:t xml:space="preserve">112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3">
            <w:pPr>
              <w:rPr>
                <w:sz w:val="24"/>
                <w:szCs w:val="24"/>
              </w:rPr>
            </w:pPr>
            <w:r w:rsidDel="00000000" w:rsidR="00000000" w:rsidRPr="00000000">
              <w:rPr>
                <w:color w:val="000000"/>
                <w:sz w:val="24"/>
                <w:szCs w:val="24"/>
                <w:rtl w:val="0"/>
              </w:rPr>
              <w:t xml:space="preserve">2,149</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4">
            <w:pPr>
              <w:rPr>
                <w:sz w:val="24"/>
                <w:szCs w:val="24"/>
              </w:rPr>
            </w:pPr>
            <w:r w:rsidDel="00000000" w:rsidR="00000000" w:rsidRPr="00000000">
              <w:rPr>
                <w:color w:val="000000"/>
                <w:sz w:val="24"/>
                <w:szCs w:val="24"/>
                <w:rtl w:val="0"/>
              </w:rPr>
              <w:t xml:space="preserve">Optometry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5">
            <w:pPr>
              <w:rPr>
                <w:sz w:val="24"/>
                <w:szCs w:val="24"/>
              </w:rPr>
            </w:pPr>
            <w:r w:rsidDel="00000000" w:rsidR="00000000" w:rsidRPr="00000000">
              <w:rPr>
                <w:color w:val="000000"/>
                <w:sz w:val="24"/>
                <w:szCs w:val="24"/>
                <w:rtl w:val="0"/>
              </w:rPr>
              <w:t xml:space="preserve">19</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6">
            <w:pPr>
              <w:rPr>
                <w:sz w:val="24"/>
                <w:szCs w:val="24"/>
              </w:rPr>
            </w:pPr>
            <w:r w:rsidDel="00000000" w:rsidR="00000000" w:rsidRPr="00000000">
              <w:rPr>
                <w:color w:val="000000"/>
                <w:sz w:val="24"/>
                <w:szCs w:val="24"/>
                <w:rtl w:val="0"/>
              </w:rPr>
              <w:t xml:space="preserve">15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7">
            <w:pPr>
              <w:rPr>
                <w:sz w:val="24"/>
                <w:szCs w:val="24"/>
              </w:rPr>
            </w:pPr>
            <w:r w:rsidDel="00000000" w:rsidR="00000000" w:rsidRPr="00000000">
              <w:rPr>
                <w:color w:val="000000"/>
                <w:sz w:val="24"/>
                <w:szCs w:val="24"/>
                <w:rtl w:val="0"/>
              </w:rPr>
              <w:t xml:space="preserve">292</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8">
            <w:pPr>
              <w:rPr>
                <w:sz w:val="24"/>
                <w:szCs w:val="24"/>
              </w:rPr>
            </w:pPr>
            <w:r w:rsidDel="00000000" w:rsidR="00000000" w:rsidRPr="00000000">
              <w:rPr>
                <w:color w:val="000000"/>
                <w:sz w:val="24"/>
                <w:szCs w:val="24"/>
                <w:rtl w:val="0"/>
              </w:rPr>
              <w:t xml:space="preserve">Science &amp; Health Prof.</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9">
            <w:pPr>
              <w:rPr>
                <w:sz w:val="24"/>
                <w:szCs w:val="24"/>
              </w:rPr>
            </w:pPr>
            <w:r w:rsidDel="00000000" w:rsidR="00000000" w:rsidRPr="00000000">
              <w:rPr>
                <w:color w:val="000000"/>
                <w:sz w:val="24"/>
                <w:szCs w:val="24"/>
                <w:rtl w:val="0"/>
              </w:rPr>
              <w:t xml:space="preserve">264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A">
            <w:pPr>
              <w:rPr>
                <w:sz w:val="24"/>
                <w:szCs w:val="24"/>
              </w:rPr>
            </w:pPr>
            <w:r w:rsidDel="00000000" w:rsidR="00000000" w:rsidRPr="00000000">
              <w:rPr>
                <w:color w:val="000000"/>
                <w:sz w:val="24"/>
                <w:szCs w:val="24"/>
                <w:rtl w:val="0"/>
              </w:rPr>
              <w:t xml:space="preserve">80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B">
            <w:pPr>
              <w:rPr>
                <w:sz w:val="24"/>
                <w:szCs w:val="24"/>
              </w:rPr>
            </w:pPr>
            <w:r w:rsidDel="00000000" w:rsidR="00000000" w:rsidRPr="00000000">
              <w:rPr>
                <w:color w:val="000000"/>
                <w:sz w:val="24"/>
                <w:szCs w:val="24"/>
                <w:rtl w:val="0"/>
              </w:rPr>
              <w:t xml:space="preserve">1,772</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C">
            <w:pPr>
              <w:rPr>
                <w:sz w:val="24"/>
                <w:szCs w:val="24"/>
              </w:rPr>
            </w:pPr>
            <w:r w:rsidDel="00000000" w:rsidR="00000000" w:rsidRPr="00000000">
              <w:rPr>
                <w:b w:val="1"/>
                <w:bCs w:val="1"/>
                <w:rtl w:val="0"/>
              </w:rPr>
              <w:t xml:space="preserve">Total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D">
            <w:pPr>
              <w:rPr>
                <w:sz w:val="24"/>
                <w:szCs w:val="24"/>
              </w:rPr>
            </w:pPr>
            <w:r w:rsidDel="00000000" w:rsidR="00000000" w:rsidRPr="00000000">
              <w:rPr>
                <w:b w:val="1"/>
                <w:bCs w:val="1"/>
                <w:color w:val="000000"/>
                <w:sz w:val="24"/>
                <w:szCs w:val="24"/>
                <w:rtl w:val="0"/>
              </w:rPr>
              <w:t xml:space="preserve">1,120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E">
            <w:pPr>
              <w:rPr>
                <w:sz w:val="24"/>
                <w:szCs w:val="24"/>
              </w:rPr>
            </w:pPr>
            <w:r w:rsidDel="00000000" w:rsidR="00000000" w:rsidRPr="00000000">
              <w:rPr>
                <w:b w:val="1"/>
                <w:bCs w:val="1"/>
                <w:color w:val="000000"/>
                <w:sz w:val="24"/>
                <w:szCs w:val="24"/>
                <w:rtl w:val="0"/>
              </w:rPr>
              <w:t xml:space="preserve">344*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6F">
            <w:pPr>
              <w:rPr>
                <w:sz w:val="24"/>
                <w:szCs w:val="24"/>
              </w:rPr>
            </w:pPr>
            <w:r w:rsidDel="00000000" w:rsidR="00000000" w:rsidRPr="00000000">
              <w:rPr>
                <w:b w:val="1"/>
                <w:bCs w:val="1"/>
                <w:color w:val="000000"/>
                <w:sz w:val="24"/>
                <w:szCs w:val="24"/>
                <w:rtl w:val="0"/>
              </w:rPr>
              <w:t xml:space="preserve">8,647</w:t>
            </w:r>
            <w:r w:rsidDel="00000000" w:rsidR="00000000" w:rsidRPr="00000000">
              <w:rPr>
                <w:rtl w:val="0"/>
              </w:rPr>
            </w:r>
          </w:p>
        </w:tc>
      </w:tr>
    </w:tbl>
    <w:p w:rsidR="00000000" w:rsidDel="00000000" w:rsidP="00000000" w:rsidRDefault="00000000" w:rsidRPr="00000000" w14:paraId="00000270">
      <w:pPr>
        <w:spacing w:after="200" w:lineRule="auto"/>
        <w:rPr>
          <w:sz w:val="24"/>
          <w:szCs w:val="24"/>
        </w:rPr>
      </w:pPr>
      <w:r w:rsidDel="00000000" w:rsidR="00000000" w:rsidRPr="00000000">
        <w:rPr>
          <w:color w:val="000000"/>
          <w:sz w:val="24"/>
          <w:szCs w:val="24"/>
          <w:rtl w:val="0"/>
        </w:rPr>
        <w:t xml:space="preserve">*Faculty members may be evaluated in two different colleges</w:t>
      </w:r>
      <w:r w:rsidDel="00000000" w:rsidR="00000000" w:rsidRPr="00000000">
        <w:rPr>
          <w:rtl w:val="0"/>
        </w:rPr>
      </w:r>
    </w:p>
    <w:p w:rsidR="00000000" w:rsidDel="00000000" w:rsidP="00000000" w:rsidRDefault="00000000" w:rsidRPr="00000000" w14:paraId="00000271">
      <w:pPr>
        <w:spacing w:after="0" w:lineRule="auto"/>
        <w:rPr>
          <w:sz w:val="24"/>
          <w:szCs w:val="24"/>
        </w:rPr>
      </w:pPr>
      <w:r w:rsidDel="00000000" w:rsidR="00000000" w:rsidRPr="00000000">
        <w:rPr>
          <w:color w:val="000000"/>
          <w:sz w:val="24"/>
          <w:szCs w:val="24"/>
          <w:rtl w:val="0"/>
        </w:rPr>
        <w:t xml:space="preserve">Question 10: I would rate this class as excellent</w:t>
      </w:r>
      <w:r w:rsidDel="00000000" w:rsidR="00000000" w:rsidRPr="00000000">
        <w:rPr>
          <w:rtl w:val="0"/>
        </w:rPr>
      </w:r>
    </w:p>
    <w:tbl>
      <w:tblPr>
        <w:tblStyle w:val="Table6"/>
        <w:tblW w:w="6999.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217"/>
        <w:gridCol w:w="1852"/>
        <w:gridCol w:w="1930"/>
        <w:tblGridChange w:id="0">
          <w:tblGrid>
            <w:gridCol w:w="3217"/>
            <w:gridCol w:w="1852"/>
            <w:gridCol w:w="193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2">
            <w:pPr>
              <w:rPr>
                <w:sz w:val="24"/>
                <w:szCs w:val="24"/>
              </w:rPr>
            </w:pPr>
            <w:r w:rsidDel="00000000" w:rsidR="00000000" w:rsidRPr="00000000">
              <w:rPr>
                <w:b w:val="1"/>
                <w:bCs w:val="1"/>
                <w:color w:val="000000"/>
                <w:sz w:val="24"/>
                <w:szCs w:val="24"/>
                <w:rtl w:val="0"/>
              </w:rPr>
              <w:t xml:space="preserve">Question 10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3">
            <w:pPr>
              <w:rPr>
                <w:sz w:val="24"/>
                <w:szCs w:val="24"/>
              </w:rPr>
            </w:pPr>
            <w:r w:rsidDel="00000000" w:rsidR="00000000" w:rsidRPr="00000000">
              <w:rPr>
                <w:b w:val="1"/>
                <w:bCs w:val="1"/>
                <w:color w:val="000000"/>
                <w:sz w:val="24"/>
                <w:szCs w:val="24"/>
                <w:rtl w:val="0"/>
              </w:rPr>
              <w:t xml:space="preserve">Fall 2023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4">
            <w:pPr>
              <w:rPr>
                <w:sz w:val="24"/>
                <w:szCs w:val="24"/>
              </w:rPr>
            </w:pPr>
            <w:r w:rsidDel="00000000" w:rsidR="00000000" w:rsidRPr="00000000">
              <w:rPr>
                <w:b w:val="1"/>
                <w:bCs w:val="1"/>
                <w:color w:val="000000"/>
                <w:sz w:val="24"/>
                <w:szCs w:val="24"/>
                <w:rtl w:val="0"/>
              </w:rPr>
              <w:t xml:space="preserve">Spring 2024</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5">
            <w:pPr>
              <w:rPr>
                <w:sz w:val="24"/>
                <w:szCs w:val="24"/>
              </w:rPr>
            </w:pPr>
            <w:r w:rsidDel="00000000" w:rsidR="00000000" w:rsidRPr="00000000">
              <w:rPr>
                <w:color w:val="000000"/>
                <w:sz w:val="24"/>
                <w:szCs w:val="24"/>
                <w:rtl w:val="0"/>
              </w:rPr>
              <w:t xml:space="preserve">Business &amp; Technology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6">
            <w:pPr>
              <w:rPr>
                <w:sz w:val="24"/>
                <w:szCs w:val="24"/>
              </w:rPr>
            </w:pPr>
            <w:r w:rsidDel="00000000" w:rsidR="00000000" w:rsidRPr="00000000">
              <w:rPr>
                <w:color w:val="000000"/>
                <w:sz w:val="24"/>
                <w:szCs w:val="24"/>
                <w:rtl w:val="0"/>
              </w:rPr>
              <w:t xml:space="preserve">4.27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7">
            <w:pPr>
              <w:rPr>
                <w:sz w:val="24"/>
                <w:szCs w:val="24"/>
              </w:rPr>
            </w:pPr>
            <w:r w:rsidDel="00000000" w:rsidR="00000000" w:rsidRPr="00000000">
              <w:rPr>
                <w:color w:val="000000"/>
                <w:sz w:val="24"/>
                <w:szCs w:val="24"/>
                <w:rtl w:val="0"/>
              </w:rPr>
              <w:t xml:space="preserve">4.43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8">
            <w:pPr>
              <w:rPr>
                <w:sz w:val="24"/>
                <w:szCs w:val="24"/>
              </w:rPr>
            </w:pPr>
            <w:r w:rsidDel="00000000" w:rsidR="00000000" w:rsidRPr="00000000">
              <w:rPr>
                <w:color w:val="000000"/>
                <w:sz w:val="24"/>
                <w:szCs w:val="24"/>
                <w:rtl w:val="0"/>
              </w:rPr>
              <w:t xml:space="preserve">Education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9">
            <w:pPr>
              <w:rPr>
                <w:sz w:val="24"/>
                <w:szCs w:val="24"/>
              </w:rPr>
            </w:pPr>
            <w:r w:rsidDel="00000000" w:rsidR="00000000" w:rsidRPr="00000000">
              <w:rPr>
                <w:color w:val="000000"/>
                <w:sz w:val="24"/>
                <w:szCs w:val="24"/>
                <w:rtl w:val="0"/>
              </w:rPr>
              <w:t xml:space="preserve">4.38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A">
            <w:pPr>
              <w:rPr>
                <w:sz w:val="24"/>
                <w:szCs w:val="24"/>
              </w:rPr>
            </w:pPr>
            <w:r w:rsidDel="00000000" w:rsidR="00000000" w:rsidRPr="00000000">
              <w:rPr>
                <w:color w:val="000000"/>
                <w:sz w:val="24"/>
                <w:szCs w:val="24"/>
                <w:rtl w:val="0"/>
              </w:rPr>
              <w:t xml:space="preserve">4.43</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B">
            <w:pPr>
              <w:rPr>
                <w:sz w:val="24"/>
                <w:szCs w:val="24"/>
              </w:rPr>
            </w:pPr>
            <w:r w:rsidDel="00000000" w:rsidR="00000000" w:rsidRPr="00000000">
              <w:rPr>
                <w:color w:val="000000"/>
                <w:sz w:val="24"/>
                <w:szCs w:val="24"/>
                <w:rtl w:val="0"/>
              </w:rPr>
              <w:t xml:space="preserve">Extended Learning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C">
            <w:pPr>
              <w:rPr>
                <w:sz w:val="24"/>
                <w:szCs w:val="24"/>
              </w:rPr>
            </w:pPr>
            <w:r w:rsidDel="00000000" w:rsidR="00000000" w:rsidRPr="00000000">
              <w:rPr>
                <w:color w:val="000000"/>
                <w:sz w:val="24"/>
                <w:szCs w:val="24"/>
                <w:rtl w:val="0"/>
              </w:rPr>
              <w:t xml:space="preserve">4.56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D">
            <w:pPr>
              <w:rPr>
                <w:sz w:val="24"/>
                <w:szCs w:val="24"/>
              </w:rPr>
            </w:pPr>
            <w:r w:rsidDel="00000000" w:rsidR="00000000" w:rsidRPr="00000000">
              <w:rPr>
                <w:color w:val="000000"/>
                <w:sz w:val="24"/>
                <w:szCs w:val="24"/>
                <w:rtl w:val="0"/>
              </w:rPr>
              <w:t xml:space="preserve">4.47</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E">
            <w:pPr>
              <w:rPr>
                <w:sz w:val="24"/>
                <w:szCs w:val="24"/>
              </w:rPr>
            </w:pPr>
            <w:r w:rsidDel="00000000" w:rsidR="00000000" w:rsidRPr="00000000">
              <w:rPr>
                <w:color w:val="000000"/>
                <w:sz w:val="24"/>
                <w:szCs w:val="24"/>
                <w:rtl w:val="0"/>
              </w:rPr>
              <w:t xml:space="preserve">Liberal Arts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7F">
            <w:pPr>
              <w:rPr>
                <w:sz w:val="24"/>
                <w:szCs w:val="24"/>
              </w:rPr>
            </w:pPr>
            <w:r w:rsidDel="00000000" w:rsidR="00000000" w:rsidRPr="00000000">
              <w:rPr>
                <w:color w:val="000000"/>
                <w:sz w:val="24"/>
                <w:szCs w:val="24"/>
                <w:rtl w:val="0"/>
              </w:rPr>
              <w:t xml:space="preserve">4.35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80">
            <w:pPr>
              <w:rPr>
                <w:sz w:val="24"/>
                <w:szCs w:val="24"/>
              </w:rPr>
            </w:pPr>
            <w:r w:rsidDel="00000000" w:rsidR="00000000" w:rsidRPr="00000000">
              <w:rPr>
                <w:color w:val="000000"/>
                <w:sz w:val="24"/>
                <w:szCs w:val="24"/>
                <w:rtl w:val="0"/>
              </w:rPr>
              <w:t xml:space="preserve">4.42</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81">
            <w:pPr>
              <w:rPr>
                <w:sz w:val="24"/>
                <w:szCs w:val="24"/>
              </w:rPr>
            </w:pPr>
            <w:r w:rsidDel="00000000" w:rsidR="00000000" w:rsidRPr="00000000">
              <w:rPr>
                <w:color w:val="000000"/>
                <w:sz w:val="24"/>
                <w:szCs w:val="24"/>
                <w:rtl w:val="0"/>
              </w:rPr>
              <w:t xml:space="preserve">Optometry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82">
            <w:pPr>
              <w:rPr>
                <w:sz w:val="24"/>
                <w:szCs w:val="24"/>
              </w:rPr>
            </w:pPr>
            <w:r w:rsidDel="00000000" w:rsidR="00000000" w:rsidRPr="00000000">
              <w:rPr>
                <w:color w:val="000000"/>
                <w:sz w:val="24"/>
                <w:szCs w:val="24"/>
                <w:rtl w:val="0"/>
              </w:rPr>
              <w:t xml:space="preserve">4.55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83">
            <w:pPr>
              <w:rPr>
                <w:sz w:val="24"/>
                <w:szCs w:val="24"/>
              </w:rPr>
            </w:pPr>
            <w:r w:rsidDel="00000000" w:rsidR="00000000" w:rsidRPr="00000000">
              <w:rPr>
                <w:color w:val="000000"/>
                <w:sz w:val="24"/>
                <w:szCs w:val="24"/>
                <w:rtl w:val="0"/>
              </w:rPr>
              <w:t xml:space="preserve">4.54</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84">
            <w:pPr>
              <w:rPr>
                <w:sz w:val="24"/>
                <w:szCs w:val="24"/>
              </w:rPr>
            </w:pPr>
            <w:r w:rsidDel="00000000" w:rsidR="00000000" w:rsidRPr="00000000">
              <w:rPr>
                <w:color w:val="000000"/>
                <w:sz w:val="24"/>
                <w:szCs w:val="24"/>
                <w:rtl w:val="0"/>
              </w:rPr>
              <w:t xml:space="preserve">Science &amp; Health Prof.</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85">
            <w:pPr>
              <w:rPr>
                <w:sz w:val="24"/>
                <w:szCs w:val="24"/>
              </w:rPr>
            </w:pPr>
            <w:r w:rsidDel="00000000" w:rsidR="00000000" w:rsidRPr="00000000">
              <w:rPr>
                <w:color w:val="000000"/>
                <w:sz w:val="24"/>
                <w:szCs w:val="24"/>
                <w:rtl w:val="0"/>
              </w:rPr>
              <w:t xml:space="preserve">4.17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15.0" w:type="dxa"/>
              <w:left w:w="15.0" w:type="dxa"/>
              <w:bottom w:w="15.0" w:type="dxa"/>
              <w:right w:w="15.0" w:type="dxa"/>
            </w:tcMar>
            <w:vAlign w:val="center"/>
          </w:tcPr>
          <w:p w:rsidR="00000000" w:rsidDel="00000000" w:rsidP="00000000" w:rsidRDefault="00000000" w:rsidRPr="00000000" w14:paraId="00000286">
            <w:pPr>
              <w:rPr>
                <w:sz w:val="24"/>
                <w:szCs w:val="24"/>
              </w:rPr>
            </w:pPr>
            <w:r w:rsidDel="00000000" w:rsidR="00000000" w:rsidRPr="00000000">
              <w:rPr>
                <w:color w:val="000000"/>
                <w:sz w:val="24"/>
                <w:szCs w:val="24"/>
                <w:rtl w:val="0"/>
              </w:rPr>
              <w:t xml:space="preserve">4.22</w:t>
            </w:r>
            <w:r w:rsidDel="00000000" w:rsidR="00000000" w:rsidRPr="00000000">
              <w:rPr>
                <w:rtl w:val="0"/>
              </w:rPr>
            </w:r>
          </w:p>
        </w:tc>
      </w:tr>
    </w:tbl>
    <w:p w:rsidR="00000000" w:rsidDel="00000000" w:rsidP="00000000" w:rsidRDefault="00000000" w:rsidRPr="00000000" w14:paraId="00000287">
      <w:pPr>
        <w:pStyle w:val="Heading3"/>
        <w:spacing w:after="0" w:lineRule="auto"/>
        <w:rPr/>
      </w:pPr>
      <w:r w:rsidDel="00000000" w:rsidR="00000000" w:rsidRPr="00000000">
        <w:rPr>
          <w:rtl w:val="0"/>
        </w:rPr>
        <w:t xml:space="preserve">IV-3 What changes occurred or are planned in response to the student engagement and satisfaction assessment?</w:t>
      </w:r>
    </w:p>
    <w:p w:rsidR="00000000" w:rsidDel="00000000" w:rsidP="00000000" w:rsidRDefault="00000000" w:rsidRPr="00000000" w14:paraId="00000288">
      <w:pPr>
        <w:rPr>
          <w:sz w:val="24"/>
          <w:szCs w:val="24"/>
        </w:rPr>
      </w:pPr>
      <w:r w:rsidDel="00000000" w:rsidR="00000000" w:rsidRPr="00000000">
        <w:rPr>
          <w:rtl w:val="0"/>
        </w:rPr>
        <w:t xml:space="preserve">In response to student engagement and satisfaction assessments, NSU faculty and academic leadership continually review course evaluation results to guide improvements. Deans and department chairs use the evaluation data to identify strengths and areas for growth, and faculty are expected to consider this feedback when planning future courses. Course changes, such as refining syllabi, clarifying objectives, adjusting instructional methods, and enhancing communication, are implemented on an ongoing basis. The online evaluation system has also enabled faculty to access timely feedback, facilitating more responsive adjustments to their teaching practices.</w:t>
      </w:r>
      <w:r w:rsidDel="00000000" w:rsidR="00000000" w:rsidRPr="00000000">
        <w:rPr>
          <w:rtl w:val="0"/>
        </w:rPr>
      </w:r>
    </w:p>
    <w:sectPr>
      <w:type w:val="nextPage"/>
      <w:pgSz w:h="15840" w:w="12240" w:orient="portrait"/>
      <w:pgMar w:bottom="1800" w:top="2160" w:left="1080" w:right="108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Inter">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9">
    <w:pPr>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A">
    <w:pPr>
      <w:tabs>
        <w:tab w:val="center" w:leader="none" w:pos="4320"/>
        <w:tab w:val="right" w:leader="none" w:pos="8640"/>
      </w:tabs>
      <w:rPr>
        <w:rFonts w:ascii="Arial" w:cs="Arial" w:eastAsia="Arial" w:hAnsi="Arial"/>
        <w:b w:val="1"/>
        <w:bCs w:val="1"/>
        <w:color w:val="00866b"/>
        <w:sz w:val="22"/>
        <w:szCs w:val="22"/>
      </w:rPr>
    </w:pPr>
    <w:r w:rsidDel="00000000" w:rsidR="00000000" w:rsidRPr="00000000">
      <w:rPr>
        <w:rFonts w:ascii="Arial" w:cs="Arial" w:eastAsia="Arial" w:hAnsi="Arial"/>
        <w:b w:val="1"/>
        <w:bCs w:val="1"/>
        <w:color w:val="00866b"/>
        <w:sz w:val="22"/>
        <w:szCs w:val="22"/>
        <w:rtl w:val="0"/>
      </w:rPr>
      <w:t xml:space="preserve">NSU Institutional Effectiveness</w:t>
    </w:r>
  </w:p>
  <w:p w:rsidR="00000000" w:rsidDel="00000000" w:rsidP="00000000" w:rsidRDefault="00000000" w:rsidRPr="00000000" w14:paraId="0000028B">
    <w:pPr>
      <w:jc w:val="left"/>
      <w:rPr>
        <w:color w:val="000000"/>
      </w:rPr>
    </w:pPr>
    <w:r w:rsidDel="00000000" w:rsidR="00000000" w:rsidRPr="00000000">
      <w:rPr>
        <w:rFonts w:ascii="Arial" w:cs="Arial" w:eastAsia="Arial" w:hAnsi="Arial"/>
        <w:color w:val="00866b"/>
        <w:sz w:val="22"/>
        <w:szCs w:val="22"/>
        <w:rtl w:val="0"/>
      </w:rPr>
      <w:t xml:space="preserve">600 N. Grand Ave | Tahlequah, OK 74464-2302 | Email: </w:t>
    </w:r>
    <w:hyperlink r:id="rId1">
      <w:r w:rsidDel="00000000" w:rsidR="00000000" w:rsidRPr="00000000">
        <w:rPr>
          <w:rFonts w:ascii="Arial" w:cs="Arial" w:eastAsia="Arial" w:hAnsi="Arial"/>
          <w:color w:val="00866b"/>
          <w:sz w:val="22"/>
          <w:szCs w:val="22"/>
          <w:rtl w:val="0"/>
        </w:rPr>
        <w:t xml:space="preserve">nsuie@nsuok.edu</w:t>
      </w:r>
    </w:hyperlink>
    <w:r w:rsidDel="00000000" w:rsidR="00000000" w:rsidRPr="00000000">
      <w:rPr>
        <w:rFonts w:ascii="Arial" w:cs="Arial" w:eastAsia="Arial" w:hAnsi="Arial"/>
        <w:color w:val="00866b"/>
        <w:sz w:val="22"/>
        <w:szCs w:val="22"/>
        <w:rtl w:val="0"/>
      </w:rPr>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C">
    <w:pPr>
      <w:tabs>
        <w:tab w:val="center" w:leader="none" w:pos="4320"/>
        <w:tab w:val="right" w:leader="none" w:pos="8640"/>
      </w:tabs>
      <w:rPr>
        <w:rFonts w:ascii="Arial" w:cs="Arial" w:eastAsia="Arial" w:hAnsi="Arial"/>
        <w:b w:val="1"/>
        <w:bCs w:val="1"/>
        <w:color w:val="00866b"/>
      </w:rPr>
    </w:pPr>
    <w:r w:rsidDel="00000000" w:rsidR="00000000" w:rsidRPr="00000000">
      <w:rPr>
        <w:rFonts w:ascii="Arial" w:cs="Arial" w:eastAsia="Arial" w:hAnsi="Arial"/>
        <w:b w:val="1"/>
        <w:bCs w:val="1"/>
        <w:color w:val="00866b"/>
        <w:rtl w:val="0"/>
      </w:rPr>
      <w:t xml:space="preserve">NSU Institutional Effectiveness</w:t>
    </w:r>
  </w:p>
  <w:p w:rsidR="00000000" w:rsidDel="00000000" w:rsidP="00000000" w:rsidRDefault="00000000" w:rsidRPr="00000000" w14:paraId="0000028D">
    <w:pPr>
      <w:jc w:val="left"/>
      <w:rPr>
        <w:color w:val="000000"/>
      </w:rPr>
    </w:pPr>
    <w:r w:rsidDel="00000000" w:rsidR="00000000" w:rsidRPr="00000000">
      <w:rPr>
        <w:rFonts w:ascii="Arial" w:cs="Arial" w:eastAsia="Arial" w:hAnsi="Arial"/>
        <w:color w:val="00866b"/>
        <w:rtl w:val="0"/>
      </w:rPr>
      <w:t xml:space="preserve">600 N. Grand Ave | Tahlequah, OK 74464-2302 | Email: nsuie@nsuok.edu</w:t>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E">
    <w:pPr>
      <w:tabs>
        <w:tab w:val="center" w:leader="none" w:pos="4320"/>
        <w:tab w:val="right" w:leader="none" w:pos="8640"/>
      </w:tabs>
      <w:rPr/>
    </w:pPr>
    <w:r w:rsidDel="00000000" w:rsidR="00000000" w:rsidRPr="00000000">
      <w:rPr>
        <w:rFonts w:ascii="Inter" w:cs="Inter" w:eastAsia="Inter" w:hAnsi="Inter"/>
        <w:b w:val="1"/>
        <w:bCs w:val="1"/>
        <w:sz w:val="24"/>
        <w:szCs w:val="24"/>
      </w:rPr>
      <w:drawing>
        <wp:inline distB="0" distT="0" distL="0" distR="0">
          <wp:extent cx="2006600" cy="673100"/>
          <wp:effectExtent b="0" l="0" r="0" t="0"/>
          <wp:docPr descr="NSU-left-green" id="2" name="image2.png"/>
          <a:graphic>
            <a:graphicData uri="http://schemas.openxmlformats.org/drawingml/2006/picture">
              <pic:pic>
                <pic:nvPicPr>
                  <pic:cNvPr descr="NSU-left-green" id="0" name="image2.png"/>
                  <pic:cNvPicPr preferRelativeResize="0"/>
                </pic:nvPicPr>
                <pic:blipFill>
                  <a:blip r:embed="rId1"/>
                  <a:srcRect b="0" l="0" r="0" t="0"/>
                  <a:stretch>
                    <a:fillRect/>
                  </a:stretch>
                </pic:blipFill>
                <pic:spPr>
                  <a:xfrm>
                    <a:off x="0" y="0"/>
                    <a:ext cx="2006600" cy="673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F">
    <w:pPr>
      <w:tabs>
        <w:tab w:val="center" w:leader="none" w:pos="4320"/>
        <w:tab w:val="right" w:leader="none" w:pos="8640"/>
      </w:tabs>
      <w:rPr/>
    </w:pPr>
    <w:r w:rsidDel="00000000" w:rsidR="00000000" w:rsidRPr="00000000">
      <w:rPr>
        <w:rFonts w:ascii="Inter" w:cs="Inter" w:eastAsia="Inter" w:hAnsi="Inter"/>
        <w:b w:val="1"/>
        <w:bCs w:val="1"/>
      </w:rPr>
      <w:drawing>
        <wp:inline distB="0" distT="0" distL="0" distR="0">
          <wp:extent cx="2006600" cy="673100"/>
          <wp:effectExtent b="0" l="0" r="0" t="0"/>
          <wp:docPr descr="NSU-left-green" id="1" name="image1.png"/>
          <a:graphic>
            <a:graphicData uri="http://schemas.openxmlformats.org/drawingml/2006/picture">
              <pic:pic>
                <pic:nvPicPr>
                  <pic:cNvPr descr="NSU-left-green" id="0" name="image1.png"/>
                  <pic:cNvPicPr preferRelativeResize="0"/>
                </pic:nvPicPr>
                <pic:blipFill>
                  <a:blip r:embed="rId1"/>
                  <a:srcRect b="0" l="0" r="0" t="0"/>
                  <a:stretch>
                    <a:fillRect/>
                  </a:stretch>
                </pic:blipFill>
                <pic:spPr>
                  <a:xfrm>
                    <a:off x="0" y="0"/>
                    <a:ext cx="2006600" cy="673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360" w:hanging="360"/>
      </w:pPr>
      <w:rPr/>
    </w:lvl>
    <w:lvl w:ilvl="1">
      <w:start w:val="1"/>
      <w:numFmt w:val="bullet"/>
      <w:lvlText w:val="o"/>
      <w:lvlJc w:val="left"/>
      <w:pPr>
        <w:ind w:left="720" w:hanging="360"/>
      </w:pPr>
      <w:rPr/>
    </w:lvl>
    <w:lvl w:ilvl="2">
      <w:start w:val="1"/>
      <w:numFmt w:val="bullet"/>
      <w:lvlText w:val=""/>
      <w:lvlJc w:val="left"/>
      <w:pPr>
        <w:ind w:left="1080" w:hanging="360"/>
      </w:pPr>
      <w:rPr/>
    </w:lvl>
    <w:lvl w:ilvl="3">
      <w:start w:val="1"/>
      <w:numFmt w:val="bullet"/>
      <w:lvlText w:val=""/>
      <w:lvlJc w:val="left"/>
      <w:pPr>
        <w:ind w:left="1440" w:hanging="360"/>
      </w:pPr>
      <w:rPr/>
    </w:lvl>
    <w:lvl w:ilvl="4">
      <w:start w:val="1"/>
      <w:numFmt w:val="bullet"/>
      <w:lvlText w:val="o"/>
      <w:lvlJc w:val="left"/>
      <w:pPr>
        <w:ind w:left="1800" w:hanging="360"/>
      </w:pPr>
      <w:rPr/>
    </w:lvl>
    <w:lvl w:ilvl="5">
      <w:start w:val="1"/>
      <w:numFmt w:val="bullet"/>
      <w:lvlText w:val=""/>
      <w:lvlJc w:val="left"/>
      <w:pPr>
        <w:ind w:left="2160" w:hanging="360"/>
      </w:pPr>
      <w:rPr/>
    </w:lvl>
    <w:lvl w:ilvl="6">
      <w:start w:val="1"/>
      <w:numFmt w:val="bullet"/>
      <w:lvlText w:val=""/>
      <w:lvlJc w:val="left"/>
      <w:pPr>
        <w:ind w:left="2520" w:hanging="360"/>
      </w:pPr>
      <w:rPr/>
    </w:lvl>
    <w:lvl w:ilvl="7">
      <w:start w:val="1"/>
      <w:numFmt w:val="bullet"/>
      <w:lvlText w:val="o"/>
      <w:lvlJc w:val="left"/>
      <w:pPr>
        <w:ind w:left="2880" w:hanging="360"/>
      </w:pPr>
      <w:rPr/>
    </w:lvl>
    <w:lvl w:ilvl="8">
      <w:start w:val="1"/>
      <w:numFmt w:val="bullet"/>
      <w:lvlText w:val=""/>
      <w:lvlJc w:val="left"/>
      <w:pPr>
        <w:ind w:left="3240" w:hanging="360"/>
      </w:pPr>
      <w:rPr/>
    </w:lvl>
  </w:abstractNum>
  <w:abstractNum w:abstractNumId="9">
    <w:lvl w:ilvl="0">
      <w:start w:val="1"/>
      <w:numFmt w:val="bullet"/>
      <w:lvlText w:val="●"/>
      <w:lvlJc w:val="left"/>
      <w:pPr>
        <w:ind w:left="360" w:hanging="360"/>
      </w:pPr>
      <w:rPr/>
    </w:lvl>
    <w:lvl w:ilvl="1">
      <w:start w:val="1"/>
      <w:numFmt w:val="bullet"/>
      <w:lvlText w:val="o"/>
      <w:lvlJc w:val="left"/>
      <w:pPr>
        <w:ind w:left="720" w:hanging="360"/>
      </w:pPr>
      <w:rPr/>
    </w:lvl>
    <w:lvl w:ilvl="2">
      <w:start w:val="1"/>
      <w:numFmt w:val="bullet"/>
      <w:lvlText w:val=""/>
      <w:lvlJc w:val="left"/>
      <w:pPr>
        <w:ind w:left="1080" w:hanging="360"/>
      </w:pPr>
      <w:rPr/>
    </w:lvl>
    <w:lvl w:ilvl="3">
      <w:start w:val="1"/>
      <w:numFmt w:val="bullet"/>
      <w:lvlText w:val=""/>
      <w:lvlJc w:val="left"/>
      <w:pPr>
        <w:ind w:left="1440" w:hanging="360"/>
      </w:pPr>
      <w:rPr/>
    </w:lvl>
    <w:lvl w:ilvl="4">
      <w:start w:val="1"/>
      <w:numFmt w:val="bullet"/>
      <w:lvlText w:val="o"/>
      <w:lvlJc w:val="left"/>
      <w:pPr>
        <w:ind w:left="1800" w:hanging="360"/>
      </w:pPr>
      <w:rPr/>
    </w:lvl>
    <w:lvl w:ilvl="5">
      <w:start w:val="1"/>
      <w:numFmt w:val="bullet"/>
      <w:lvlText w:val=""/>
      <w:lvlJc w:val="left"/>
      <w:pPr>
        <w:ind w:left="2160" w:hanging="360"/>
      </w:pPr>
      <w:rPr/>
    </w:lvl>
    <w:lvl w:ilvl="6">
      <w:start w:val="1"/>
      <w:numFmt w:val="bullet"/>
      <w:lvlText w:val=""/>
      <w:lvlJc w:val="left"/>
      <w:pPr>
        <w:ind w:left="2520" w:hanging="360"/>
      </w:pPr>
      <w:rPr/>
    </w:lvl>
    <w:lvl w:ilvl="7">
      <w:start w:val="1"/>
      <w:numFmt w:val="bullet"/>
      <w:lvlText w:val="o"/>
      <w:lvlJc w:val="left"/>
      <w:pPr>
        <w:ind w:left="2880" w:hanging="360"/>
      </w:pPr>
      <w:rPr/>
    </w:lvl>
    <w:lvl w:ilvl="8">
      <w:start w:val="1"/>
      <w:numFmt w:val="bullet"/>
      <w:lvlText w:val=""/>
      <w:lvlJc w:val="left"/>
      <w:pPr>
        <w:ind w:left="3240" w:hanging="360"/>
      </w:pPr>
      <w:rPr/>
    </w:lvl>
  </w:abstractNum>
  <w:abstractNum w:abstractNumId="10">
    <w:lvl w:ilvl="0">
      <w:start w:val="1"/>
      <w:numFmt w:val="bullet"/>
      <w:lvlText w:val="●"/>
      <w:lvlJc w:val="left"/>
      <w:pPr>
        <w:ind w:left="360" w:hanging="360"/>
      </w:pPr>
      <w:rPr/>
    </w:lvl>
    <w:lvl w:ilvl="1">
      <w:start w:val="1"/>
      <w:numFmt w:val="bullet"/>
      <w:lvlText w:val="o"/>
      <w:lvlJc w:val="left"/>
      <w:pPr>
        <w:ind w:left="720" w:hanging="360"/>
      </w:pPr>
      <w:rPr/>
    </w:lvl>
    <w:lvl w:ilvl="2">
      <w:start w:val="1"/>
      <w:numFmt w:val="bullet"/>
      <w:lvlText w:val=""/>
      <w:lvlJc w:val="left"/>
      <w:pPr>
        <w:ind w:left="1080" w:hanging="360"/>
      </w:pPr>
      <w:rPr/>
    </w:lvl>
    <w:lvl w:ilvl="3">
      <w:start w:val="1"/>
      <w:numFmt w:val="bullet"/>
      <w:lvlText w:val=""/>
      <w:lvlJc w:val="left"/>
      <w:pPr>
        <w:ind w:left="1440" w:hanging="360"/>
      </w:pPr>
      <w:rPr/>
    </w:lvl>
    <w:lvl w:ilvl="4">
      <w:start w:val="1"/>
      <w:numFmt w:val="bullet"/>
      <w:lvlText w:val="o"/>
      <w:lvlJc w:val="left"/>
      <w:pPr>
        <w:ind w:left="1800" w:hanging="360"/>
      </w:pPr>
      <w:rPr/>
    </w:lvl>
    <w:lvl w:ilvl="5">
      <w:start w:val="1"/>
      <w:numFmt w:val="bullet"/>
      <w:lvlText w:val=""/>
      <w:lvlJc w:val="left"/>
      <w:pPr>
        <w:ind w:left="2160" w:hanging="360"/>
      </w:pPr>
      <w:rPr/>
    </w:lvl>
    <w:lvl w:ilvl="6">
      <w:start w:val="1"/>
      <w:numFmt w:val="bullet"/>
      <w:lvlText w:val=""/>
      <w:lvlJc w:val="left"/>
      <w:pPr>
        <w:ind w:left="2520" w:hanging="360"/>
      </w:pPr>
      <w:rPr/>
    </w:lvl>
    <w:lvl w:ilvl="7">
      <w:start w:val="1"/>
      <w:numFmt w:val="bullet"/>
      <w:lvlText w:val="o"/>
      <w:lvlJc w:val="left"/>
      <w:pPr>
        <w:ind w:left="2880" w:hanging="360"/>
      </w:pPr>
      <w:rPr/>
    </w:lvl>
    <w:lvl w:ilvl="8">
      <w:start w:val="1"/>
      <w:numFmt w:val="bullet"/>
      <w:lvlText w:val=""/>
      <w:lvlJc w:val="left"/>
      <w:pPr>
        <w:ind w:left="3240" w:hanging="36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b w:val="1"/>
      <w:bCs w:val="1"/>
      <w:sz w:val="40"/>
      <w:szCs w:val="40"/>
    </w:rPr>
  </w:style>
  <w:style w:type="paragraph" w:styleId="Heading2">
    <w:name w:val="heading 2"/>
    <w:basedOn w:val="Normal"/>
    <w:next w:val="Normal"/>
    <w:pPr>
      <w:spacing w:after="400" w:before="400" w:lineRule="auto"/>
    </w:pPr>
    <w:rPr>
      <w:rFonts w:ascii="Arial" w:cs="Arial" w:eastAsia="Arial" w:hAnsi="Arial"/>
      <w:b w:val="1"/>
      <w:bCs w:val="1"/>
      <w:color w:val="00866b"/>
      <w:sz w:val="28"/>
      <w:szCs w:val="28"/>
    </w:rPr>
  </w:style>
  <w:style w:type="paragraph" w:styleId="Heading3">
    <w:name w:val="heading 3"/>
    <w:basedOn w:val="Normal"/>
    <w:next w:val="Normal"/>
    <w:pPr>
      <w:spacing w:after="380" w:before="380" w:lineRule="auto"/>
    </w:pPr>
    <w:rPr>
      <w:b w:val="1"/>
      <w:bCs w:val="1"/>
      <w:color w:val="444444"/>
      <w:sz w:val="28"/>
      <w:szCs w:val="28"/>
    </w:rPr>
  </w:style>
  <w:style w:type="paragraph" w:styleId="Heading4">
    <w:name w:val="heading 4"/>
    <w:basedOn w:val="Normal"/>
    <w:next w:val="Normal"/>
    <w:pPr>
      <w:spacing w:after="200" w:lineRule="auto"/>
    </w:pPr>
    <w:rPr>
      <w:b w:val="1"/>
      <w:bCs w:val="1"/>
    </w:rPr>
  </w:style>
  <w:style w:type="paragraph" w:styleId="Heading5">
    <w:name w:val="heading 5"/>
    <w:basedOn w:val="Normal"/>
    <w:next w:val="Normal"/>
    <w:pPr/>
    <w:rPr/>
  </w:style>
  <w:style w:type="paragraph" w:styleId="Heading6">
    <w:name w:val="heading 6"/>
    <w:basedOn w:val="Normal"/>
    <w:next w:val="Normal"/>
    <w:pPr/>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Inter-bold.ttf"/><Relationship Id="rId2" Type="http://schemas.openxmlformats.org/officeDocument/2006/relationships/font" Target="fonts/Inter-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nsuie@nsuok.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fdb887ed-c950-46ae-b029-b2ff42f877d8</vt:lpwstr>
  </property>
</Properties>
</file>