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40" w:before="240" w:line="342.85714285714283" w:lineRule="auto"/>
        <w:rPr>
          <w:b w:val="1"/>
          <w:bCs w:val="1"/>
          <w:color w:val="131619"/>
          <w:sz w:val="21"/>
          <w:szCs w:val="21"/>
        </w:rPr>
      </w:pPr>
      <w:r w:rsidDel="00000000" w:rsidR="00000000" w:rsidRPr="00000000">
        <w:rPr>
          <w:b w:val="1"/>
          <w:bCs w:val="1"/>
          <w:color w:val="131619"/>
          <w:sz w:val="21"/>
          <w:szCs w:val="21"/>
          <w:rtl w:val="0"/>
        </w:rPr>
        <w:t xml:space="preserve">Meeting Summary – Dr. Hanley, November 11, 3:00–4:00 p.m., Admin 117 (Faculty and Chair Council Forum)</w:t>
      </w:r>
    </w:p>
    <w:p w:rsidR="00000000" w:rsidDel="00000000" w:rsidP="00000000" w:rsidRDefault="00000000" w:rsidRPr="00000000" w14:paraId="00000002">
      <w:pPr>
        <w:shd w:fill="ffffff" w:val="clear"/>
        <w:spacing w:after="240" w:before="240" w:line="342.85714285714283" w:lineRule="auto"/>
        <w:rPr>
          <w:color w:val="131619"/>
          <w:sz w:val="21"/>
          <w:szCs w:val="21"/>
        </w:rPr>
      </w:pPr>
      <w:r w:rsidDel="00000000" w:rsidR="00000000" w:rsidRPr="00000000">
        <w:rPr>
          <w:b w:val="1"/>
          <w:bCs w:val="1"/>
          <w:color w:val="131619"/>
          <w:sz w:val="21"/>
          <w:szCs w:val="21"/>
          <w:rtl w:val="0"/>
        </w:rPr>
        <w:t xml:space="preserve">Quick Recap</w:t>
        <w:br w:type="textWrapping"/>
      </w:r>
      <w:r w:rsidDel="00000000" w:rsidR="00000000" w:rsidRPr="00000000">
        <w:rPr>
          <w:color w:val="131619"/>
          <w:sz w:val="21"/>
          <w:szCs w:val="21"/>
          <w:rtl w:val="0"/>
        </w:rPr>
        <w:t xml:space="preserve">The meeting centered on Northeastern State University’s international recruitment and enrollment strategies, focusing on growth, partnerships, and student support. Topics included English requirements, visa processes, employment opportunities, national security screening, and cultural differences. The conversation also addressed international partnerships, budgeting, and ethical recruitment practices, emphasizing the importance of fostering sustainable relationships and promoting cultural exchange.</w:t>
      </w:r>
    </w:p>
    <w:p w:rsidR="00000000" w:rsidDel="00000000" w:rsidP="00000000" w:rsidRDefault="00000000" w:rsidRPr="00000000" w14:paraId="00000003">
      <w:pPr>
        <w:pStyle w:val="Heading3"/>
        <w:keepNext w:val="0"/>
        <w:keepLines w:val="0"/>
        <w:shd w:fill="ffffff" w:val="clear"/>
        <w:spacing w:before="280" w:line="342.85714285714283" w:lineRule="auto"/>
        <w:rPr>
          <w:b w:val="1"/>
          <w:bCs w:val="1"/>
          <w:color w:val="131619"/>
          <w:sz w:val="26"/>
          <w:szCs w:val="26"/>
        </w:rPr>
      </w:pPr>
      <w:bookmarkStart w:colFirst="0" w:colLast="0" w:name="_sp2ozdid7imp" w:id="0"/>
      <w:bookmarkEnd w:id="0"/>
      <w:r w:rsidDel="00000000" w:rsidR="00000000" w:rsidRPr="00000000">
        <w:rPr>
          <w:b w:val="1"/>
          <w:bCs w:val="1"/>
          <w:color w:val="131619"/>
          <w:sz w:val="26"/>
          <w:szCs w:val="26"/>
          <w:rtl w:val="0"/>
        </w:rPr>
        <w:t xml:space="preserve">International Recruitment Growth Strategies</w:t>
      </w:r>
    </w:p>
    <w:p w:rsidR="00000000" w:rsidDel="00000000" w:rsidP="00000000" w:rsidRDefault="00000000" w:rsidRPr="00000000" w14:paraId="00000004">
      <w:pPr>
        <w:shd w:fill="ffffff" w:val="clear"/>
        <w:spacing w:after="240" w:before="240" w:line="342.85714285714283" w:lineRule="auto"/>
        <w:rPr>
          <w:color w:val="131619"/>
          <w:sz w:val="21"/>
          <w:szCs w:val="21"/>
        </w:rPr>
      </w:pPr>
      <w:r w:rsidDel="00000000" w:rsidR="00000000" w:rsidRPr="00000000">
        <w:rPr>
          <w:color w:val="131619"/>
          <w:sz w:val="21"/>
          <w:szCs w:val="21"/>
          <w:rtl w:val="0"/>
        </w:rPr>
        <w:t xml:space="preserve">Dr. Hanley discussed the university’s vision for international recruitment as a key factor in enrollment growth and budget stability. He noted a 164% increase in international students since his arrival and outlined initiatives, including partnerships with overseas institutions and online programs. Other discussions covered English language requirements, visa procedures, post-graduation support, and the expansion of the ESL Academy. Concerns about national security screening and employment opportunities in Oklahoma were also addressed.</w:t>
      </w:r>
    </w:p>
    <w:p w:rsidR="00000000" w:rsidDel="00000000" w:rsidP="00000000" w:rsidRDefault="00000000" w:rsidRPr="00000000" w14:paraId="00000005">
      <w:pPr>
        <w:pStyle w:val="Heading3"/>
        <w:keepNext w:val="0"/>
        <w:keepLines w:val="0"/>
        <w:shd w:fill="ffffff" w:val="clear"/>
        <w:spacing w:before="280" w:line="342.85714285714283" w:lineRule="auto"/>
        <w:rPr>
          <w:b w:val="1"/>
          <w:bCs w:val="1"/>
          <w:color w:val="131619"/>
          <w:sz w:val="26"/>
          <w:szCs w:val="26"/>
        </w:rPr>
      </w:pPr>
      <w:bookmarkStart w:colFirst="0" w:colLast="0" w:name="_royk58t8o18d" w:id="1"/>
      <w:bookmarkEnd w:id="1"/>
      <w:r w:rsidDel="00000000" w:rsidR="00000000" w:rsidRPr="00000000">
        <w:rPr>
          <w:b w:val="1"/>
          <w:bCs w:val="1"/>
          <w:color w:val="131619"/>
          <w:sz w:val="26"/>
          <w:szCs w:val="26"/>
          <w:rtl w:val="0"/>
        </w:rPr>
        <w:t xml:space="preserve">International Student Recruitment Initiatives</w:t>
      </w:r>
    </w:p>
    <w:p w:rsidR="00000000" w:rsidDel="00000000" w:rsidP="00000000" w:rsidRDefault="00000000" w:rsidRPr="00000000" w14:paraId="00000006">
      <w:pPr>
        <w:shd w:fill="ffffff" w:val="clear"/>
        <w:spacing w:after="240" w:before="240" w:line="342.85714285714283" w:lineRule="auto"/>
        <w:rPr>
          <w:color w:val="131619"/>
          <w:sz w:val="21"/>
          <w:szCs w:val="21"/>
        </w:rPr>
      </w:pPr>
      <w:r w:rsidDel="00000000" w:rsidR="00000000" w:rsidRPr="00000000">
        <w:rPr>
          <w:color w:val="131619"/>
          <w:sz w:val="21"/>
          <w:szCs w:val="21"/>
          <w:rtl w:val="0"/>
        </w:rPr>
        <w:t xml:space="preserve">The discussion covered recruitment and exchange programs, including partnerships with Chinese institutions where students complete part of their studies abroad before transferring to the U.S. The first group of students is expected next fall, with additional partnerships developing in China for health-related programs. Recruitment efforts are also expanding to Vietnam, Germany, Japan, South Korea, India, and Ireland, with new interest in athletic recruitment.</w:t>
      </w:r>
    </w:p>
    <w:p w:rsidR="00000000" w:rsidDel="00000000" w:rsidP="00000000" w:rsidRDefault="00000000" w:rsidRPr="00000000" w14:paraId="00000007">
      <w:pPr>
        <w:pStyle w:val="Heading3"/>
        <w:keepNext w:val="0"/>
        <w:keepLines w:val="0"/>
        <w:shd w:fill="ffffff" w:val="clear"/>
        <w:spacing w:before="280" w:line="342.85714285714283" w:lineRule="auto"/>
        <w:rPr>
          <w:b w:val="1"/>
          <w:bCs w:val="1"/>
          <w:color w:val="131619"/>
          <w:sz w:val="26"/>
          <w:szCs w:val="26"/>
        </w:rPr>
      </w:pPr>
      <w:bookmarkStart w:colFirst="0" w:colLast="0" w:name="_7oshxvytf92r" w:id="2"/>
      <w:bookmarkEnd w:id="2"/>
      <w:r w:rsidDel="00000000" w:rsidR="00000000" w:rsidRPr="00000000">
        <w:rPr>
          <w:b w:val="1"/>
          <w:bCs w:val="1"/>
          <w:color w:val="131619"/>
          <w:sz w:val="26"/>
          <w:szCs w:val="26"/>
          <w:rtl w:val="0"/>
        </w:rPr>
        <w:t xml:space="preserve">International Student Program Budget Overview</w:t>
      </w:r>
    </w:p>
    <w:p w:rsidR="00000000" w:rsidDel="00000000" w:rsidP="00000000" w:rsidRDefault="00000000" w:rsidRPr="00000000" w14:paraId="00000008">
      <w:pPr>
        <w:shd w:fill="ffffff" w:val="clear"/>
        <w:spacing w:after="240" w:before="240" w:line="342.85714285714283" w:lineRule="auto"/>
        <w:rPr>
          <w:color w:val="131619"/>
          <w:sz w:val="21"/>
          <w:szCs w:val="21"/>
        </w:rPr>
      </w:pPr>
      <w:r w:rsidDel="00000000" w:rsidR="00000000" w:rsidRPr="00000000">
        <w:rPr>
          <w:color w:val="131619"/>
          <w:sz w:val="21"/>
          <w:szCs w:val="21"/>
          <w:rtl w:val="0"/>
        </w:rPr>
        <w:t xml:space="preserve">Funding for international programs comes primarily from international student tuition rather than institutional funds. The budget includes three components: ENG funding for salaries, tuition share revenue, and a separate budget for recruitment, student activities, and scholarships. The conversation also highlighted the need to respect cultural and legal differences abroad while maintaining consistent academic standards.</w:t>
      </w:r>
    </w:p>
    <w:p w:rsidR="00000000" w:rsidDel="00000000" w:rsidP="00000000" w:rsidRDefault="00000000" w:rsidRPr="00000000" w14:paraId="00000009">
      <w:pPr>
        <w:pStyle w:val="Heading3"/>
        <w:keepNext w:val="0"/>
        <w:keepLines w:val="0"/>
        <w:shd w:fill="ffffff" w:val="clear"/>
        <w:spacing w:before="280" w:line="342.85714285714283" w:lineRule="auto"/>
        <w:rPr>
          <w:b w:val="1"/>
          <w:bCs w:val="1"/>
          <w:color w:val="131619"/>
          <w:sz w:val="26"/>
          <w:szCs w:val="26"/>
        </w:rPr>
      </w:pPr>
      <w:bookmarkStart w:colFirst="0" w:colLast="0" w:name="_sknsvln2fl8d" w:id="3"/>
      <w:bookmarkEnd w:id="3"/>
      <w:r w:rsidDel="00000000" w:rsidR="00000000" w:rsidRPr="00000000">
        <w:rPr>
          <w:b w:val="1"/>
          <w:bCs w:val="1"/>
          <w:color w:val="131619"/>
          <w:sz w:val="26"/>
          <w:szCs w:val="26"/>
          <w:rtl w:val="0"/>
        </w:rPr>
        <w:t xml:space="preserve">Building Sustainable International Partnerships</w:t>
      </w:r>
    </w:p>
    <w:p w:rsidR="00000000" w:rsidDel="00000000" w:rsidP="00000000" w:rsidRDefault="00000000" w:rsidRPr="00000000" w14:paraId="0000000A">
      <w:pPr>
        <w:shd w:fill="ffffff" w:val="clear"/>
        <w:spacing w:after="240" w:before="240" w:line="342.85714285714283" w:lineRule="auto"/>
        <w:rPr>
          <w:color w:val="131619"/>
          <w:sz w:val="21"/>
          <w:szCs w:val="21"/>
        </w:rPr>
      </w:pPr>
      <w:r w:rsidDel="00000000" w:rsidR="00000000" w:rsidRPr="00000000">
        <w:rPr>
          <w:color w:val="131619"/>
          <w:sz w:val="21"/>
          <w:szCs w:val="21"/>
          <w:rtl w:val="0"/>
        </w:rPr>
        <w:t xml:space="preserve">The importance of long-term, trust-based relationships with partner institutions was emphasized. Partnerships are developed gradually through multiple MOUs, allowing time to assess mutual commitment and sustainability. Caution was advised against short-term arrangements with institutions seeking only immediate gains.</w:t>
      </w:r>
    </w:p>
    <w:p w:rsidR="00000000" w:rsidDel="00000000" w:rsidP="00000000" w:rsidRDefault="00000000" w:rsidRPr="00000000" w14:paraId="0000000B">
      <w:pPr>
        <w:pStyle w:val="Heading3"/>
        <w:keepNext w:val="0"/>
        <w:keepLines w:val="0"/>
        <w:shd w:fill="ffffff" w:val="clear"/>
        <w:spacing w:before="280" w:line="342.85714285714283" w:lineRule="auto"/>
        <w:rPr>
          <w:b w:val="1"/>
          <w:bCs w:val="1"/>
          <w:color w:val="131619"/>
          <w:sz w:val="26"/>
          <w:szCs w:val="26"/>
        </w:rPr>
      </w:pPr>
      <w:bookmarkStart w:colFirst="0" w:colLast="0" w:name="_6crjqv6i0fm1" w:id="4"/>
      <w:bookmarkEnd w:id="4"/>
      <w:r w:rsidDel="00000000" w:rsidR="00000000" w:rsidRPr="00000000">
        <w:rPr>
          <w:b w:val="1"/>
          <w:bCs w:val="1"/>
          <w:color w:val="131619"/>
          <w:sz w:val="26"/>
          <w:szCs w:val="26"/>
          <w:rtl w:val="0"/>
        </w:rPr>
        <w:t xml:space="preserve">International Student Recruitment Strategies</w:t>
      </w:r>
    </w:p>
    <w:p w:rsidR="00000000" w:rsidDel="00000000" w:rsidP="00000000" w:rsidRDefault="00000000" w:rsidRPr="00000000" w14:paraId="0000000C">
      <w:pPr>
        <w:shd w:fill="ffffff" w:val="clear"/>
        <w:spacing w:after="240" w:before="240" w:line="342.85714285714283" w:lineRule="auto"/>
        <w:rPr>
          <w:color w:val="131619"/>
          <w:sz w:val="21"/>
          <w:szCs w:val="21"/>
        </w:rPr>
      </w:pPr>
      <w:r w:rsidDel="00000000" w:rsidR="00000000" w:rsidRPr="00000000">
        <w:rPr>
          <w:color w:val="131619"/>
          <w:sz w:val="21"/>
          <w:szCs w:val="21"/>
          <w:rtl w:val="0"/>
        </w:rPr>
        <w:t xml:space="preserve">The discussion emphasized that while demand from China has been significant, the university’s main focus is cultural exchange rather than financial gain. Concerns about overreliance on international enrollment were discussed, along with the broader economic impact of international students. Ethical recruitment practices were highlighted, including the reliance on established institutional partnerships rather than agents to reduce unethical behavior.</w:t>
      </w:r>
    </w:p>
    <w:p w:rsidR="00000000" w:rsidDel="00000000" w:rsidP="00000000" w:rsidRDefault="00000000" w:rsidRPr="00000000" w14:paraId="0000000D">
      <w:pPr>
        <w:pStyle w:val="Heading3"/>
        <w:keepNext w:val="0"/>
        <w:keepLines w:val="0"/>
        <w:shd w:fill="ffffff" w:val="clear"/>
        <w:spacing w:before="280" w:line="342.85714285714283" w:lineRule="auto"/>
        <w:rPr>
          <w:b w:val="1"/>
          <w:bCs w:val="1"/>
          <w:color w:val="131619"/>
          <w:sz w:val="26"/>
          <w:szCs w:val="26"/>
        </w:rPr>
      </w:pPr>
      <w:bookmarkStart w:colFirst="0" w:colLast="0" w:name="_vw6olz69eczu" w:id="5"/>
      <w:bookmarkEnd w:id="5"/>
      <w:r w:rsidDel="00000000" w:rsidR="00000000" w:rsidRPr="00000000">
        <w:rPr>
          <w:b w:val="1"/>
          <w:bCs w:val="1"/>
          <w:color w:val="131619"/>
          <w:sz w:val="26"/>
          <w:szCs w:val="26"/>
          <w:rtl w:val="0"/>
        </w:rPr>
        <w:t xml:space="preserve">Global Education Partnerships and Recruitment</w:t>
      </w:r>
    </w:p>
    <w:p w:rsidR="00000000" w:rsidDel="00000000" w:rsidP="00000000" w:rsidRDefault="00000000" w:rsidRPr="00000000" w14:paraId="0000000E">
      <w:pPr>
        <w:shd w:fill="ffffff" w:val="clear"/>
        <w:spacing w:after="240" w:before="240" w:line="342.85714285714283" w:lineRule="auto"/>
        <w:rPr>
          <w:color w:val="131619"/>
          <w:sz w:val="21"/>
          <w:szCs w:val="21"/>
        </w:rPr>
      </w:pPr>
      <w:r w:rsidDel="00000000" w:rsidR="00000000" w:rsidRPr="00000000">
        <w:rPr>
          <w:color w:val="131619"/>
          <w:sz w:val="21"/>
          <w:szCs w:val="21"/>
          <w:rtl w:val="0"/>
        </w:rPr>
        <w:t xml:space="preserve">The meeting concluded with a review of global education partnerships, stressing the validation of legitimate agencies and institutions through official sources and internal evaluation. Faculty participation in international teaching was encouraged, reflecting the university’s growing role as a regional hub for internationalization. The university reaffirmed its commitment to supporting international students and strengthening global partnerships.</w:t>
      </w:r>
    </w:p>
    <w:p w:rsidR="00000000" w:rsidDel="00000000" w:rsidP="00000000" w:rsidRDefault="00000000" w:rsidRPr="00000000" w14:paraId="0000000F">
      <w:pPr>
        <w:shd w:fill="ffffff" w:val="clear"/>
        <w:spacing w:after="220" w:before="220" w:line="342.85714285714283" w:lineRule="auto"/>
        <w:rPr>
          <w:b w:val="1"/>
          <w:bCs w:val="1"/>
          <w:color w:val="131619"/>
          <w:sz w:val="36"/>
          <w:szCs w:val="36"/>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